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F646A" w14:textId="77777777" w:rsidR="008148CC" w:rsidRDefault="008148CC"/>
    <w:p w14:paraId="5F877EA1" w14:textId="775B2213" w:rsidR="00284C41" w:rsidRPr="001165A5" w:rsidRDefault="00C04D74" w:rsidP="00A71906">
      <w:pPr>
        <w:jc w:val="right"/>
        <w:rPr>
          <w:rFonts w:cs="Times New Roman"/>
          <w:sz w:val="28"/>
          <w:szCs w:val="28"/>
        </w:rPr>
      </w:pPr>
      <w:r w:rsidRPr="001165A5">
        <w:rPr>
          <w:rFonts w:cs="Times New Roman"/>
        </w:rPr>
        <w:t xml:space="preserve"> </w:t>
      </w:r>
      <w:r w:rsidRPr="001165A5">
        <w:rPr>
          <w:rFonts w:cs="Times New Roman"/>
        </w:rPr>
        <w:tab/>
      </w:r>
      <w:r w:rsidR="00284C41" w:rsidRPr="001165A5">
        <w:rPr>
          <w:rFonts w:cs="Times New Roman"/>
        </w:rPr>
        <w:t xml:space="preserve">Warszawa, dnia </w:t>
      </w:r>
      <w:r w:rsidR="002C6701">
        <w:rPr>
          <w:rFonts w:cs="Times New Roman"/>
        </w:rPr>
        <w:t xml:space="preserve">…. </w:t>
      </w:r>
      <w:r w:rsidR="00542C9D">
        <w:rPr>
          <w:rFonts w:cs="Times New Roman"/>
        </w:rPr>
        <w:t>marca 2020</w:t>
      </w:r>
      <w:r w:rsidR="00284C41" w:rsidRPr="001165A5">
        <w:rPr>
          <w:rFonts w:cs="Times New Roman"/>
        </w:rPr>
        <w:t xml:space="preserve"> r</w:t>
      </w:r>
      <w:r w:rsidR="008A266E" w:rsidRPr="001165A5">
        <w:rPr>
          <w:rFonts w:cs="Times New Roman"/>
          <w:sz w:val="28"/>
          <w:szCs w:val="28"/>
        </w:rPr>
        <w:t>.</w:t>
      </w:r>
    </w:p>
    <w:p w14:paraId="6C11C45F" w14:textId="77777777" w:rsidR="008A2B90" w:rsidRPr="001165A5" w:rsidRDefault="008A2B90" w:rsidP="00A71906">
      <w:pPr>
        <w:jc w:val="right"/>
        <w:rPr>
          <w:rFonts w:cs="Times New Roman"/>
          <w:sz w:val="28"/>
          <w:szCs w:val="28"/>
        </w:rPr>
      </w:pPr>
    </w:p>
    <w:p w14:paraId="3048E8ED" w14:textId="68209957" w:rsidR="00277E1B" w:rsidRDefault="00A93A76" w:rsidP="00277E1B">
      <w:pPr>
        <w:ind w:left="4320"/>
        <w:rPr>
          <w:rFonts w:cs="Times New Roman"/>
          <w:b/>
          <w:sz w:val="28"/>
          <w:szCs w:val="28"/>
        </w:rPr>
      </w:pPr>
      <w:r w:rsidRPr="001165A5">
        <w:rPr>
          <w:rFonts w:cs="Times New Roman"/>
          <w:b/>
          <w:sz w:val="28"/>
          <w:szCs w:val="28"/>
        </w:rPr>
        <w:t xml:space="preserve">Sąd </w:t>
      </w:r>
      <w:r w:rsidR="001165A5" w:rsidRPr="001165A5">
        <w:rPr>
          <w:rFonts w:cs="Times New Roman"/>
          <w:b/>
          <w:sz w:val="28"/>
          <w:szCs w:val="28"/>
        </w:rPr>
        <w:t>Okręgowy</w:t>
      </w:r>
      <w:r w:rsidR="009C7956">
        <w:rPr>
          <w:rFonts w:cs="Times New Roman"/>
          <w:b/>
          <w:sz w:val="28"/>
          <w:szCs w:val="28"/>
        </w:rPr>
        <w:t xml:space="preserve"> </w:t>
      </w:r>
      <w:r w:rsidRPr="001165A5">
        <w:rPr>
          <w:rFonts w:cs="Times New Roman"/>
          <w:b/>
          <w:sz w:val="28"/>
          <w:szCs w:val="28"/>
        </w:rPr>
        <w:t xml:space="preserve"> w Warszawie</w:t>
      </w:r>
    </w:p>
    <w:p w14:paraId="45A790CC" w14:textId="4CAFD400" w:rsidR="009C7956" w:rsidRPr="009C7956" w:rsidRDefault="002647FC" w:rsidP="00277E1B">
      <w:pPr>
        <w:ind w:left="4320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………</w:t>
      </w:r>
      <w:r w:rsidR="009C7956" w:rsidRPr="009C7956">
        <w:rPr>
          <w:rFonts w:cs="Times New Roman"/>
          <w:bCs/>
          <w:sz w:val="28"/>
          <w:szCs w:val="28"/>
        </w:rPr>
        <w:t xml:space="preserve"> Wydział Cywilny</w:t>
      </w:r>
    </w:p>
    <w:p w14:paraId="781C8830" w14:textId="77777777" w:rsidR="00277E1B" w:rsidRPr="001165A5" w:rsidRDefault="001165A5" w:rsidP="00277E1B">
      <w:pPr>
        <w:ind w:left="4320"/>
        <w:rPr>
          <w:rFonts w:cs="Times New Roman"/>
          <w:sz w:val="28"/>
          <w:szCs w:val="28"/>
        </w:rPr>
      </w:pPr>
      <w:r w:rsidRPr="001165A5">
        <w:rPr>
          <w:rFonts w:cs="Times New Roman"/>
          <w:sz w:val="28"/>
          <w:szCs w:val="28"/>
        </w:rPr>
        <w:t>al.  Solidarności 127</w:t>
      </w:r>
    </w:p>
    <w:p w14:paraId="79A198B3" w14:textId="77777777" w:rsidR="00277E1B" w:rsidRPr="001165A5" w:rsidRDefault="00277E1B" w:rsidP="00277E1B">
      <w:pPr>
        <w:ind w:left="4320"/>
        <w:rPr>
          <w:rFonts w:cs="Times New Roman"/>
          <w:sz w:val="28"/>
          <w:szCs w:val="28"/>
        </w:rPr>
      </w:pPr>
      <w:r w:rsidRPr="001165A5">
        <w:rPr>
          <w:rFonts w:cs="Times New Roman"/>
          <w:sz w:val="28"/>
          <w:szCs w:val="28"/>
        </w:rPr>
        <w:t>Warszawa</w:t>
      </w:r>
    </w:p>
    <w:p w14:paraId="476C0BFB" w14:textId="77777777" w:rsidR="009967DD" w:rsidRPr="001165A5" w:rsidRDefault="009967DD" w:rsidP="003D7008">
      <w:pPr>
        <w:ind w:left="4320"/>
        <w:rPr>
          <w:rFonts w:cs="Times New Roman"/>
          <w:sz w:val="28"/>
          <w:szCs w:val="28"/>
        </w:rPr>
      </w:pPr>
    </w:p>
    <w:p w14:paraId="171466E4" w14:textId="155E2373" w:rsidR="00876C9D" w:rsidRPr="001165A5" w:rsidRDefault="0045463C" w:rsidP="007530C0">
      <w:pPr>
        <w:ind w:left="708" w:firstLine="708"/>
        <w:jc w:val="both"/>
        <w:rPr>
          <w:rFonts w:cs="Times New Roman"/>
          <w:b/>
        </w:rPr>
      </w:pPr>
      <w:r w:rsidRPr="001165A5">
        <w:rPr>
          <w:rFonts w:cs="Times New Roman"/>
          <w:b/>
        </w:rPr>
        <w:t>pow</w:t>
      </w:r>
      <w:r w:rsidR="00542C9D">
        <w:rPr>
          <w:rFonts w:cs="Times New Roman"/>
          <w:b/>
        </w:rPr>
        <w:t>odowie</w:t>
      </w:r>
      <w:r w:rsidR="00D466CC" w:rsidRPr="001165A5">
        <w:rPr>
          <w:rFonts w:cs="Times New Roman"/>
          <w:b/>
        </w:rPr>
        <w:t>:</w:t>
      </w:r>
      <w:r w:rsidR="00D466CC" w:rsidRPr="001165A5">
        <w:rPr>
          <w:rFonts w:cs="Times New Roman"/>
          <w:b/>
        </w:rPr>
        <w:tab/>
      </w:r>
      <w:r w:rsidR="00D466CC" w:rsidRPr="001165A5">
        <w:rPr>
          <w:rFonts w:cs="Times New Roman"/>
          <w:b/>
        </w:rPr>
        <w:tab/>
      </w:r>
      <w:r w:rsidR="00D466CC" w:rsidRPr="001165A5">
        <w:rPr>
          <w:rFonts w:cs="Times New Roman"/>
          <w:b/>
        </w:rPr>
        <w:tab/>
      </w:r>
      <w:r w:rsidR="002647FC">
        <w:rPr>
          <w:rFonts w:cs="Times New Roman"/>
          <w:b/>
        </w:rPr>
        <w:t>Maria</w:t>
      </w:r>
      <w:r w:rsidR="00542C9D">
        <w:rPr>
          <w:rFonts w:cs="Times New Roman"/>
          <w:b/>
        </w:rPr>
        <w:t xml:space="preserve"> i </w:t>
      </w:r>
      <w:r w:rsidR="002647FC">
        <w:rPr>
          <w:rFonts w:cs="Times New Roman"/>
          <w:b/>
        </w:rPr>
        <w:t>Jan Kowalscy</w:t>
      </w:r>
    </w:p>
    <w:p w14:paraId="04BBEFFB" w14:textId="7421953B" w:rsidR="00876C9D" w:rsidRPr="001165A5" w:rsidRDefault="00876C9D" w:rsidP="00876C9D">
      <w:pPr>
        <w:ind w:left="3540" w:firstLine="708"/>
        <w:jc w:val="both"/>
        <w:rPr>
          <w:rFonts w:cs="Times New Roman"/>
          <w:i/>
          <w:iCs/>
        </w:rPr>
      </w:pPr>
      <w:r w:rsidRPr="001165A5">
        <w:rPr>
          <w:rFonts w:cs="Times New Roman"/>
          <w:i/>
          <w:iCs/>
        </w:rPr>
        <w:t>reprezentowan</w:t>
      </w:r>
      <w:r w:rsidR="00542C9D">
        <w:rPr>
          <w:rFonts w:cs="Times New Roman"/>
          <w:i/>
          <w:iCs/>
        </w:rPr>
        <w:t>i</w:t>
      </w:r>
      <w:r w:rsidRPr="001165A5">
        <w:rPr>
          <w:rFonts w:cs="Times New Roman"/>
          <w:i/>
          <w:iCs/>
        </w:rPr>
        <w:t xml:space="preserve"> przez</w:t>
      </w:r>
    </w:p>
    <w:p w14:paraId="38F217AC" w14:textId="05D95550" w:rsidR="00876C9D" w:rsidRPr="001165A5" w:rsidRDefault="00876C9D" w:rsidP="00876C9D">
      <w:pPr>
        <w:jc w:val="both"/>
        <w:rPr>
          <w:rFonts w:cs="Times New Roman"/>
          <w:bCs/>
        </w:rPr>
      </w:pPr>
      <w:r w:rsidRPr="001165A5">
        <w:rPr>
          <w:rFonts w:cs="Times New Roman"/>
          <w:b/>
          <w:bCs/>
          <w:i/>
          <w:iCs/>
        </w:rPr>
        <w:tab/>
      </w:r>
      <w:r w:rsidRPr="001165A5">
        <w:rPr>
          <w:rFonts w:cs="Times New Roman"/>
          <w:b/>
          <w:bCs/>
          <w:i/>
          <w:iCs/>
        </w:rPr>
        <w:tab/>
      </w:r>
      <w:r w:rsidRPr="001165A5">
        <w:rPr>
          <w:rFonts w:cs="Times New Roman"/>
          <w:b/>
          <w:bCs/>
          <w:i/>
          <w:iCs/>
        </w:rPr>
        <w:tab/>
      </w:r>
      <w:r w:rsidRPr="001165A5">
        <w:rPr>
          <w:rFonts w:cs="Times New Roman"/>
          <w:b/>
          <w:bCs/>
          <w:i/>
          <w:iCs/>
        </w:rPr>
        <w:tab/>
      </w:r>
      <w:r w:rsidRPr="001165A5">
        <w:rPr>
          <w:rFonts w:cs="Times New Roman"/>
          <w:b/>
          <w:bCs/>
          <w:i/>
          <w:iCs/>
        </w:rPr>
        <w:tab/>
      </w:r>
      <w:r w:rsidRPr="001165A5">
        <w:rPr>
          <w:rFonts w:cs="Times New Roman"/>
          <w:b/>
          <w:bCs/>
          <w:i/>
          <w:iCs/>
        </w:rPr>
        <w:tab/>
      </w:r>
      <w:r w:rsidRPr="001165A5">
        <w:rPr>
          <w:rFonts w:cs="Times New Roman"/>
          <w:bCs/>
        </w:rPr>
        <w:t xml:space="preserve">adw. </w:t>
      </w:r>
      <w:r w:rsidR="002647FC">
        <w:rPr>
          <w:rFonts w:cs="Times New Roman"/>
          <w:bCs/>
        </w:rPr>
        <w:t>Jana Nowaka</w:t>
      </w:r>
    </w:p>
    <w:p w14:paraId="3A82F0C2" w14:textId="77777777" w:rsidR="00EF6846" w:rsidRPr="001165A5" w:rsidRDefault="00EF6846" w:rsidP="00B52017">
      <w:pPr>
        <w:jc w:val="both"/>
        <w:rPr>
          <w:rFonts w:cs="Times New Roman"/>
          <w:bCs/>
        </w:rPr>
      </w:pPr>
    </w:p>
    <w:p w14:paraId="4C5B230F" w14:textId="07B88141" w:rsidR="009D1C57" w:rsidRPr="001165A5" w:rsidRDefault="007530C0" w:rsidP="009D1C57">
      <w:pPr>
        <w:ind w:left="4248" w:hanging="2805"/>
        <w:rPr>
          <w:rFonts w:cs="Times New Roman"/>
          <w:b/>
        </w:rPr>
      </w:pPr>
      <w:r w:rsidRPr="001165A5">
        <w:rPr>
          <w:rFonts w:cs="Times New Roman"/>
          <w:b/>
        </w:rPr>
        <w:t>pozwan</w:t>
      </w:r>
      <w:r w:rsidR="00542C9D">
        <w:rPr>
          <w:rFonts w:cs="Times New Roman"/>
          <w:b/>
        </w:rPr>
        <w:t>y</w:t>
      </w:r>
      <w:r w:rsidR="00715FFA" w:rsidRPr="001165A5">
        <w:rPr>
          <w:rFonts w:cs="Times New Roman"/>
          <w:b/>
        </w:rPr>
        <w:t>:</w:t>
      </w:r>
      <w:r w:rsidR="00715FFA" w:rsidRPr="001165A5">
        <w:rPr>
          <w:rFonts w:cs="Times New Roman"/>
          <w:b/>
        </w:rPr>
        <w:tab/>
      </w:r>
      <w:r w:rsidR="00542C9D">
        <w:rPr>
          <w:rFonts w:cs="Times New Roman"/>
          <w:b/>
        </w:rPr>
        <w:t>Bank Millenium S.A. w Warszawie</w:t>
      </w:r>
    </w:p>
    <w:p w14:paraId="5F5CD575" w14:textId="4B516E76" w:rsidR="000F1AE1" w:rsidRPr="001165A5" w:rsidRDefault="000F1AE1" w:rsidP="007530C0">
      <w:pPr>
        <w:ind w:left="4248" w:hanging="2805"/>
        <w:rPr>
          <w:rFonts w:cs="Times New Roman"/>
          <w:bCs/>
          <w:i/>
          <w:iCs/>
        </w:rPr>
      </w:pPr>
      <w:r w:rsidRPr="001165A5">
        <w:rPr>
          <w:rFonts w:cs="Times New Roman"/>
          <w:b/>
        </w:rPr>
        <w:tab/>
      </w:r>
      <w:r w:rsidR="007530C0" w:rsidRPr="001165A5">
        <w:rPr>
          <w:rFonts w:cs="Times New Roman"/>
          <w:bCs/>
          <w:i/>
          <w:iCs/>
        </w:rPr>
        <w:t>reprezentowan</w:t>
      </w:r>
      <w:r w:rsidR="00542C9D">
        <w:rPr>
          <w:rFonts w:cs="Times New Roman"/>
          <w:bCs/>
          <w:i/>
          <w:iCs/>
        </w:rPr>
        <w:t>y</w:t>
      </w:r>
      <w:r w:rsidR="007530C0" w:rsidRPr="001165A5">
        <w:rPr>
          <w:rFonts w:cs="Times New Roman"/>
          <w:bCs/>
          <w:i/>
          <w:iCs/>
        </w:rPr>
        <w:t xml:space="preserve"> przez </w:t>
      </w:r>
    </w:p>
    <w:p w14:paraId="0775CFA3" w14:textId="128A9AF4" w:rsidR="007530C0" w:rsidRPr="00542C9D" w:rsidRDefault="007530C0" w:rsidP="007530C0">
      <w:pPr>
        <w:ind w:left="4248" w:hanging="2805"/>
        <w:rPr>
          <w:rFonts w:cs="Times New Roman"/>
          <w:bCs/>
        </w:rPr>
      </w:pPr>
      <w:r w:rsidRPr="00542C9D">
        <w:rPr>
          <w:rFonts w:cs="Times New Roman"/>
          <w:bCs/>
        </w:rPr>
        <w:tab/>
      </w:r>
      <w:r w:rsidR="00542C9D" w:rsidRPr="00542C9D">
        <w:rPr>
          <w:rFonts w:cs="Times New Roman"/>
          <w:bCs/>
        </w:rPr>
        <w:t>adw</w:t>
      </w:r>
      <w:r w:rsidR="009C7956">
        <w:rPr>
          <w:rFonts w:cs="Times New Roman"/>
          <w:bCs/>
        </w:rPr>
        <w:t xml:space="preserve">. </w:t>
      </w:r>
      <w:r w:rsidR="002647FC">
        <w:rPr>
          <w:rFonts w:cs="Times New Roman"/>
          <w:bCs/>
        </w:rPr>
        <w:t>Andrzeja Koronawirusa</w:t>
      </w:r>
    </w:p>
    <w:p w14:paraId="4DAB436E" w14:textId="77777777" w:rsidR="002E6EBC" w:rsidRPr="001165A5" w:rsidRDefault="002E6EBC" w:rsidP="000F1AE1">
      <w:pPr>
        <w:ind w:left="4248" w:hanging="2805"/>
        <w:rPr>
          <w:rFonts w:cs="Times New Roman"/>
        </w:rPr>
      </w:pPr>
    </w:p>
    <w:p w14:paraId="3E46BB09" w14:textId="4A3608B8" w:rsidR="003A6A80" w:rsidRPr="001165A5" w:rsidRDefault="0025085D" w:rsidP="003A6A80">
      <w:pPr>
        <w:ind w:left="720" w:firstLine="720"/>
        <w:rPr>
          <w:rFonts w:cs="Times New Roman"/>
          <w:b/>
          <w:bCs/>
        </w:rPr>
      </w:pPr>
      <w:r w:rsidRPr="001165A5">
        <w:rPr>
          <w:rFonts w:cs="Times New Roman"/>
          <w:b/>
          <w:bCs/>
        </w:rPr>
        <w:t xml:space="preserve">sygn. akt: </w:t>
      </w:r>
      <w:r w:rsidR="002647FC">
        <w:rPr>
          <w:rFonts w:cs="Times New Roman"/>
          <w:b/>
          <w:bCs/>
        </w:rPr>
        <w:t>………….</w:t>
      </w:r>
      <w:r w:rsidR="009C7956">
        <w:rPr>
          <w:rFonts w:cs="Times New Roman"/>
          <w:b/>
          <w:bCs/>
        </w:rPr>
        <w:t>/</w:t>
      </w:r>
      <w:r w:rsidR="002647FC">
        <w:rPr>
          <w:rFonts w:cs="Times New Roman"/>
          <w:b/>
          <w:bCs/>
        </w:rPr>
        <w:t>…</w:t>
      </w:r>
    </w:p>
    <w:p w14:paraId="3A822D93" w14:textId="7BEE58A8" w:rsidR="00DF2E85" w:rsidRPr="001165A5" w:rsidRDefault="00DF2E85" w:rsidP="003A6A80">
      <w:pPr>
        <w:ind w:left="720" w:firstLine="720"/>
        <w:rPr>
          <w:rFonts w:cs="Times New Roman"/>
        </w:rPr>
      </w:pPr>
      <w:r w:rsidRPr="001165A5">
        <w:rPr>
          <w:rFonts w:cs="Times New Roman"/>
        </w:rPr>
        <w:t xml:space="preserve">opłata stała: </w:t>
      </w:r>
      <w:r w:rsidR="009C7956">
        <w:rPr>
          <w:rFonts w:cs="Times New Roman"/>
        </w:rPr>
        <w:t>100</w:t>
      </w:r>
      <w:r w:rsidRPr="001165A5">
        <w:rPr>
          <w:rFonts w:cs="Times New Roman"/>
        </w:rPr>
        <w:t xml:space="preserve"> zł</w:t>
      </w:r>
      <w:r w:rsidR="009C7956">
        <w:rPr>
          <w:rFonts w:cs="Times New Roman"/>
        </w:rPr>
        <w:t>.</w:t>
      </w:r>
    </w:p>
    <w:p w14:paraId="2F1B2A0F" w14:textId="77777777" w:rsidR="0025085D" w:rsidRPr="001165A5" w:rsidRDefault="0025085D" w:rsidP="003A6A80">
      <w:pPr>
        <w:ind w:left="720" w:firstLine="720"/>
        <w:rPr>
          <w:rFonts w:cs="Times New Roman"/>
        </w:rPr>
      </w:pPr>
    </w:p>
    <w:p w14:paraId="63E346B2" w14:textId="77777777" w:rsidR="009C7956" w:rsidRDefault="00C96958" w:rsidP="009C7956">
      <w:pPr>
        <w:jc w:val="center"/>
        <w:rPr>
          <w:rFonts w:cs="Times New Roman"/>
          <w:b/>
          <w:sz w:val="28"/>
          <w:szCs w:val="28"/>
        </w:rPr>
      </w:pPr>
      <w:r w:rsidRPr="001165A5">
        <w:rPr>
          <w:rFonts w:cs="Times New Roman"/>
          <w:b/>
          <w:sz w:val="28"/>
          <w:szCs w:val="28"/>
        </w:rPr>
        <w:t>Wniosek o udzielenie zabezpieczenia roszczenia</w:t>
      </w:r>
    </w:p>
    <w:p w14:paraId="4ACFEFE5" w14:textId="77777777" w:rsidR="009C7956" w:rsidRDefault="009C7956" w:rsidP="009C7956">
      <w:pPr>
        <w:jc w:val="both"/>
        <w:rPr>
          <w:rFonts w:cs="Times New Roman"/>
          <w:b/>
          <w:sz w:val="28"/>
          <w:szCs w:val="28"/>
        </w:rPr>
      </w:pPr>
    </w:p>
    <w:p w14:paraId="27EC2304" w14:textId="42E5CB58" w:rsidR="00563B7F" w:rsidRPr="009C7956" w:rsidRDefault="009C7956" w:rsidP="00BE1F05">
      <w:pPr>
        <w:spacing w:line="360" w:lineRule="auto"/>
        <w:ind w:firstLine="35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</w:rPr>
        <w:t xml:space="preserve">Jako powodowie </w:t>
      </w:r>
      <w:r w:rsidR="0025085D" w:rsidRPr="001165A5">
        <w:rPr>
          <w:rFonts w:cs="Times New Roman"/>
        </w:rPr>
        <w:t>na podstawie art. 730</w:t>
      </w:r>
      <w:r w:rsidR="009E2D7C" w:rsidRPr="001165A5">
        <w:rPr>
          <w:rFonts w:cs="Times New Roman"/>
        </w:rPr>
        <w:t xml:space="preserve"> </w:t>
      </w:r>
      <w:r w:rsidR="0025085D" w:rsidRPr="001165A5">
        <w:rPr>
          <w:rFonts w:cs="Times New Roman"/>
        </w:rPr>
        <w:t>§ 1 k.p.c. oraz art. 755 § 1 pkt 1 k.p.c. niniejszym wnos</w:t>
      </w:r>
      <w:r w:rsidR="00FB43EA">
        <w:rPr>
          <w:rFonts w:cs="Times New Roman"/>
        </w:rPr>
        <w:t>imy</w:t>
      </w:r>
      <w:r w:rsidR="0025085D" w:rsidRPr="001165A5">
        <w:rPr>
          <w:rFonts w:cs="Times New Roman"/>
        </w:rPr>
        <w:t>:</w:t>
      </w:r>
    </w:p>
    <w:p w14:paraId="1FB8AD0E" w14:textId="570FD4A8" w:rsidR="00BE1F05" w:rsidRPr="00BE1F05" w:rsidRDefault="00DF2E85" w:rsidP="00064770">
      <w:pPr>
        <w:numPr>
          <w:ilvl w:val="0"/>
          <w:numId w:val="16"/>
        </w:numPr>
        <w:spacing w:line="360" w:lineRule="auto"/>
        <w:ind w:left="360"/>
        <w:jc w:val="both"/>
        <w:rPr>
          <w:rFonts w:cs="Times New Roman"/>
          <w:lang w:val="cs-CZ"/>
        </w:rPr>
      </w:pPr>
      <w:r w:rsidRPr="00BE1F05">
        <w:rPr>
          <w:rFonts w:cs="Times New Roman"/>
          <w:lang w:val="cs-CZ"/>
        </w:rPr>
        <w:t>o</w:t>
      </w:r>
      <w:r w:rsidR="0025085D" w:rsidRPr="00BE1F05">
        <w:rPr>
          <w:rFonts w:cs="Times New Roman"/>
          <w:lang w:val="cs-CZ"/>
        </w:rPr>
        <w:t xml:space="preserve"> udzielenie </w:t>
      </w:r>
      <w:r w:rsidR="00BE1F05" w:rsidRPr="00BE1F05">
        <w:rPr>
          <w:rFonts w:cs="Times New Roman"/>
          <w:lang w:val="cs-CZ"/>
        </w:rPr>
        <w:t>powodom</w:t>
      </w:r>
      <w:r w:rsidR="0025085D" w:rsidRPr="00BE1F05">
        <w:rPr>
          <w:rFonts w:cs="Times New Roman"/>
          <w:lang w:val="cs-CZ"/>
        </w:rPr>
        <w:t xml:space="preserve"> zabezpieczenia </w:t>
      </w:r>
      <w:r w:rsidR="00BE1F05" w:rsidRPr="00BE1F05">
        <w:rPr>
          <w:rFonts w:cs="Times New Roman"/>
          <w:lang w:val="cs-CZ"/>
        </w:rPr>
        <w:t xml:space="preserve">roszczenia obejmującego w ramach żądania zapłaty ustalenie, że umowa kredytu nr </w:t>
      </w:r>
      <w:r w:rsidR="002647FC">
        <w:rPr>
          <w:rFonts w:cs="Times New Roman"/>
          <w:lang w:val="cs-CZ"/>
        </w:rPr>
        <w:t xml:space="preserve">................. </w:t>
      </w:r>
      <w:r w:rsidR="00BE1F05" w:rsidRPr="00BE1F05">
        <w:rPr>
          <w:rFonts w:cs="Times New Roman"/>
        </w:rPr>
        <w:t xml:space="preserve">z dnia </w:t>
      </w:r>
      <w:r w:rsidR="002647FC">
        <w:rPr>
          <w:rFonts w:cs="Times New Roman"/>
        </w:rPr>
        <w:t>……….</w:t>
      </w:r>
      <w:r w:rsidR="00BE1F05" w:rsidRPr="00BE1F05">
        <w:rPr>
          <w:rFonts w:cs="Times New Roman"/>
        </w:rPr>
        <w:t xml:space="preserve"> 2008 r. zawarta pomiędzy stronami jest nieważna, poprzez unormowanie praw i obowiązków stron na czas postępowania w ten sposób, iż:</w:t>
      </w:r>
    </w:p>
    <w:p w14:paraId="1993F863" w14:textId="0852DD71" w:rsidR="00BE1F05" w:rsidRPr="00BE1F05" w:rsidRDefault="002647FC" w:rsidP="00BE1F05">
      <w:pPr>
        <w:pStyle w:val="Akapitzlist"/>
        <w:numPr>
          <w:ilvl w:val="0"/>
          <w:numId w:val="20"/>
        </w:numPr>
        <w:spacing w:line="360" w:lineRule="auto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Maria Kowalska</w:t>
      </w:r>
      <w:r w:rsidR="00BE1F05" w:rsidRPr="00BE1F05">
        <w:rPr>
          <w:rFonts w:cs="Times New Roman"/>
          <w:lang w:val="cs-CZ"/>
        </w:rPr>
        <w:t xml:space="preserve"> i </w:t>
      </w:r>
      <w:r>
        <w:rPr>
          <w:rFonts w:cs="Times New Roman"/>
          <w:lang w:val="cs-CZ"/>
        </w:rPr>
        <w:t>Jan Kowalski</w:t>
      </w:r>
      <w:r w:rsidR="00BE1F05" w:rsidRPr="00BE1F05">
        <w:rPr>
          <w:rFonts w:cs="Times New Roman"/>
          <w:lang w:val="cs-CZ"/>
        </w:rPr>
        <w:t xml:space="preserve"> będą uprawnieni do powstrzymania się od płatności rat kapitałowo – odsetkowych na podstawie </w:t>
      </w:r>
      <w:r w:rsidR="00BE1F05">
        <w:rPr>
          <w:rFonts w:cs="Times New Roman"/>
          <w:lang w:val="cs-CZ"/>
        </w:rPr>
        <w:t xml:space="preserve">umowy </w:t>
      </w:r>
      <w:r w:rsidR="00BE1F05" w:rsidRPr="00BE1F05">
        <w:rPr>
          <w:rFonts w:cs="Times New Roman"/>
          <w:lang w:val="cs-CZ"/>
        </w:rPr>
        <w:t xml:space="preserve">kredytu </w:t>
      </w:r>
      <w:r w:rsidR="00BE1F05">
        <w:rPr>
          <w:rFonts w:cs="Times New Roman"/>
          <w:lang w:val="cs-CZ"/>
        </w:rPr>
        <w:t xml:space="preserve">nr </w:t>
      </w:r>
      <w:r>
        <w:rPr>
          <w:rFonts w:cs="Times New Roman"/>
          <w:lang w:val="cs-CZ"/>
        </w:rPr>
        <w:t>.................</w:t>
      </w:r>
      <w:r w:rsidR="00BE1F05" w:rsidRPr="00BE1F05">
        <w:rPr>
          <w:rFonts w:cs="Times New Roman"/>
        </w:rPr>
        <w:t xml:space="preserve"> z dnia </w:t>
      </w:r>
      <w:r>
        <w:rPr>
          <w:rFonts w:cs="Times New Roman"/>
        </w:rPr>
        <w:t>…………</w:t>
      </w:r>
      <w:r w:rsidR="00BE1F05" w:rsidRPr="00BE1F05">
        <w:rPr>
          <w:rFonts w:cs="Times New Roman"/>
        </w:rPr>
        <w:t xml:space="preserve"> 2008 r.</w:t>
      </w:r>
      <w:r w:rsidR="00BE1F05">
        <w:rPr>
          <w:rFonts w:cs="Times New Roman"/>
        </w:rPr>
        <w:t xml:space="preserve">; </w:t>
      </w:r>
    </w:p>
    <w:p w14:paraId="2908159D" w14:textId="5F842F00" w:rsidR="0025085D" w:rsidRPr="00BE1F05" w:rsidRDefault="00BE1F05" w:rsidP="00BE1F05">
      <w:pPr>
        <w:pStyle w:val="Akapitzlist"/>
        <w:numPr>
          <w:ilvl w:val="0"/>
          <w:numId w:val="20"/>
        </w:numPr>
        <w:spacing w:line="360" w:lineRule="auto"/>
        <w:jc w:val="both"/>
        <w:rPr>
          <w:rFonts w:cs="Times New Roman"/>
          <w:lang w:val="cs-CZ"/>
        </w:rPr>
      </w:pPr>
      <w:r>
        <w:rPr>
          <w:rFonts w:cs="Times New Roman"/>
        </w:rPr>
        <w:t xml:space="preserve">Bank Millenium S.A. w Warszawie nie będzie uprawniony do złożenia oświadczenia o wypowiedzeniu umowy kredytu </w:t>
      </w:r>
      <w:r>
        <w:rPr>
          <w:rFonts w:cs="Times New Roman"/>
          <w:lang w:val="cs-CZ"/>
        </w:rPr>
        <w:t xml:space="preserve">nr </w:t>
      </w:r>
      <w:r w:rsidR="002647FC">
        <w:rPr>
          <w:rFonts w:cs="Times New Roman"/>
          <w:lang w:val="cs-CZ"/>
        </w:rPr>
        <w:t>.......................</w:t>
      </w:r>
      <w:r w:rsidRPr="00BE1F05">
        <w:rPr>
          <w:rFonts w:cs="Times New Roman"/>
        </w:rPr>
        <w:t xml:space="preserve"> z dnia </w:t>
      </w:r>
      <w:r w:rsidR="002647FC">
        <w:rPr>
          <w:rFonts w:cs="Times New Roman"/>
        </w:rPr>
        <w:t>………….</w:t>
      </w:r>
      <w:r w:rsidRPr="00BE1F05">
        <w:rPr>
          <w:rFonts w:cs="Times New Roman"/>
        </w:rPr>
        <w:t xml:space="preserve"> 2008 r.</w:t>
      </w:r>
      <w:r w:rsidR="00DF2E85" w:rsidRPr="00BE1F05">
        <w:rPr>
          <w:rFonts w:cs="Times New Roman"/>
          <w:lang w:val="cs-CZ"/>
        </w:rPr>
        <w:t>;</w:t>
      </w:r>
    </w:p>
    <w:p w14:paraId="3631F49D" w14:textId="77777777" w:rsidR="00DF2E85" w:rsidRPr="001165A5" w:rsidRDefault="00DF2E85" w:rsidP="00BE1F05">
      <w:pPr>
        <w:numPr>
          <w:ilvl w:val="0"/>
          <w:numId w:val="20"/>
        </w:numPr>
        <w:spacing w:line="360" w:lineRule="auto"/>
        <w:ind w:left="360"/>
        <w:jc w:val="both"/>
        <w:rPr>
          <w:rFonts w:cs="Times New Roman"/>
          <w:lang w:val="cs-CZ"/>
        </w:rPr>
      </w:pPr>
      <w:r w:rsidRPr="001165A5">
        <w:rPr>
          <w:rFonts w:cs="Times New Roman"/>
          <w:lang w:val="cs-CZ"/>
        </w:rPr>
        <w:t>w przypadku uwzględnienia wniosku o zabezpieczenie wnoszę o stwierdzenie wykonalności postanowienia o udzieleniu zabezpieczenia;</w:t>
      </w:r>
    </w:p>
    <w:p w14:paraId="3581F6F0" w14:textId="77777777" w:rsidR="00DF2E85" w:rsidRPr="001165A5" w:rsidRDefault="00DF2E85" w:rsidP="00064770">
      <w:pPr>
        <w:spacing w:line="360" w:lineRule="auto"/>
        <w:ind w:left="360"/>
        <w:jc w:val="both"/>
        <w:rPr>
          <w:rFonts w:cs="Times New Roman"/>
          <w:b/>
          <w:bCs/>
          <w:lang w:val="cs-CZ"/>
        </w:rPr>
      </w:pPr>
      <w:r w:rsidRPr="001165A5">
        <w:rPr>
          <w:rFonts w:cs="Times New Roman"/>
          <w:b/>
          <w:bCs/>
          <w:lang w:val="cs-CZ"/>
        </w:rPr>
        <w:t>a ponadto wnoszę:</w:t>
      </w:r>
    </w:p>
    <w:p w14:paraId="77F6B3AB" w14:textId="611D58E4" w:rsidR="001A7012" w:rsidRDefault="00DF2E85" w:rsidP="001A7012">
      <w:pPr>
        <w:numPr>
          <w:ilvl w:val="0"/>
          <w:numId w:val="20"/>
        </w:numPr>
        <w:spacing w:line="360" w:lineRule="auto"/>
        <w:ind w:left="360"/>
        <w:jc w:val="both"/>
        <w:rPr>
          <w:rFonts w:cs="Times New Roman"/>
          <w:lang w:val="cs-CZ"/>
        </w:rPr>
      </w:pPr>
      <w:r w:rsidRPr="001A7012">
        <w:rPr>
          <w:rFonts w:cs="Times New Roman"/>
          <w:lang w:val="cs-CZ"/>
        </w:rPr>
        <w:t xml:space="preserve">o dopuszczenie, a następnie przeprowadzenie </w:t>
      </w:r>
      <w:r w:rsidR="00AA0D93" w:rsidRPr="001A7012">
        <w:rPr>
          <w:rFonts w:cs="Times New Roman"/>
          <w:lang w:val="cs-CZ"/>
        </w:rPr>
        <w:t xml:space="preserve">dowodu z dokumentów zgromadzonych w aktach sprawy, w szczególności </w:t>
      </w:r>
      <w:r w:rsidR="00BE1F05" w:rsidRPr="001A7012">
        <w:rPr>
          <w:rFonts w:cs="Times New Roman"/>
          <w:lang w:val="cs-CZ"/>
        </w:rPr>
        <w:t xml:space="preserve">umowy kredytu nr </w:t>
      </w:r>
      <w:r w:rsidR="002647FC">
        <w:rPr>
          <w:rFonts w:cs="Times New Roman"/>
          <w:lang w:val="cs-CZ"/>
        </w:rPr>
        <w:t>...................</w:t>
      </w:r>
      <w:r w:rsidR="00BE1F05" w:rsidRPr="001A7012">
        <w:rPr>
          <w:rFonts w:cs="Times New Roman"/>
        </w:rPr>
        <w:t xml:space="preserve"> z dnia </w:t>
      </w:r>
      <w:r w:rsidR="002647FC">
        <w:rPr>
          <w:rFonts w:cs="Times New Roman"/>
        </w:rPr>
        <w:t>……………..</w:t>
      </w:r>
      <w:r w:rsidR="00BE1F05" w:rsidRPr="001A7012">
        <w:rPr>
          <w:rFonts w:cs="Times New Roman"/>
        </w:rPr>
        <w:t xml:space="preserve">2008 r.; aneksu nr </w:t>
      </w:r>
      <w:r w:rsidR="002647FC">
        <w:rPr>
          <w:rFonts w:cs="Times New Roman"/>
        </w:rPr>
        <w:t>…</w:t>
      </w:r>
      <w:r w:rsidR="00BE1F05" w:rsidRPr="001A7012">
        <w:rPr>
          <w:rFonts w:cs="Times New Roman"/>
        </w:rPr>
        <w:t xml:space="preserve">/2011 z dnia </w:t>
      </w:r>
      <w:r w:rsidR="002647FC">
        <w:rPr>
          <w:rFonts w:cs="Times New Roman"/>
        </w:rPr>
        <w:t xml:space="preserve">…. </w:t>
      </w:r>
      <w:r w:rsidR="00BE1F05" w:rsidRPr="001A7012">
        <w:rPr>
          <w:rFonts w:cs="Times New Roman"/>
        </w:rPr>
        <w:t>września 2011 r</w:t>
      </w:r>
      <w:r w:rsidR="001A7012" w:rsidRPr="001A7012">
        <w:rPr>
          <w:rFonts w:cs="Times New Roman"/>
        </w:rPr>
        <w:t xml:space="preserve">. Regulaminu kredytowania osób fizycznych w ramach usług bankowości hipotecznej w Banku Millennium S.A., kopii wzorca umownego, podlegającego badaniu w toku postępowania przed Sądem Ochrony Konkurencji i Konsumentów zakończonego wyrokiem z dnia 14 grudnia 2010r. (sygn. akt 426/09) </w:t>
      </w:r>
      <w:r w:rsidR="00BE1F05" w:rsidRPr="001A7012">
        <w:rPr>
          <w:rFonts w:cs="Times New Roman"/>
        </w:rPr>
        <w:t xml:space="preserve">oraz zaświadczeń Banku </w:t>
      </w:r>
      <w:r w:rsidR="00187727" w:rsidRPr="001A7012">
        <w:rPr>
          <w:rFonts w:cs="Times New Roman"/>
          <w:lang w:val="cs-CZ"/>
        </w:rPr>
        <w:t>na okoliczność:</w:t>
      </w:r>
      <w:r w:rsidR="00BE1F05" w:rsidRPr="001A7012">
        <w:rPr>
          <w:rFonts w:cs="Times New Roman"/>
          <w:lang w:val="cs-CZ"/>
        </w:rPr>
        <w:t xml:space="preserve"> stosunku zobowiązaniowego, jego nieważności, możliwości jego wypowiedzenia oraz sposobu </w:t>
      </w:r>
      <w:r w:rsidR="00BE1F05" w:rsidRPr="001A7012">
        <w:rPr>
          <w:rFonts w:cs="Times New Roman"/>
          <w:lang w:val="cs-CZ"/>
        </w:rPr>
        <w:lastRenderedPageBreak/>
        <w:t xml:space="preserve">wykonywania umowy i zaciągnięcia zobowiązania na kwotę </w:t>
      </w:r>
      <w:r w:rsidR="002647FC">
        <w:rPr>
          <w:rFonts w:cs="Times New Roman"/>
          <w:lang w:val="cs-CZ"/>
        </w:rPr>
        <w:t>........</w:t>
      </w:r>
      <w:r w:rsidR="00BE1F05" w:rsidRPr="001A7012">
        <w:rPr>
          <w:rFonts w:cs="Times New Roman"/>
          <w:lang w:val="cs-CZ"/>
        </w:rPr>
        <w:t xml:space="preserve"> złotych, która to kwota w całości została przez powodów spłacona</w:t>
      </w:r>
      <w:r w:rsidR="00C96958" w:rsidRPr="001A7012">
        <w:rPr>
          <w:rFonts w:cs="Times New Roman"/>
          <w:lang w:val="cs-CZ"/>
        </w:rPr>
        <w:t>;</w:t>
      </w:r>
    </w:p>
    <w:p w14:paraId="3B6340C1" w14:textId="6AEA2286" w:rsidR="001A7012" w:rsidRDefault="001A7012" w:rsidP="001A7012">
      <w:pPr>
        <w:numPr>
          <w:ilvl w:val="0"/>
          <w:numId w:val="20"/>
        </w:numPr>
        <w:spacing w:line="360" w:lineRule="auto"/>
        <w:ind w:left="360"/>
        <w:jc w:val="both"/>
        <w:rPr>
          <w:rFonts w:cs="Times New Roman"/>
          <w:lang w:val="cs-CZ"/>
        </w:rPr>
      </w:pPr>
      <w:r w:rsidRPr="001A7012">
        <w:rPr>
          <w:rFonts w:cs="Times New Roman"/>
          <w:bCs/>
        </w:rPr>
        <w:t xml:space="preserve">zestawienia dla </w:t>
      </w:r>
      <w:r w:rsidR="002647FC">
        <w:rPr>
          <w:rFonts w:cs="Times New Roman"/>
          <w:bCs/>
        </w:rPr>
        <w:t>u</w:t>
      </w:r>
      <w:r w:rsidRPr="001A7012">
        <w:rPr>
          <w:rFonts w:cs="Times New Roman"/>
        </w:rPr>
        <w:t xml:space="preserve">mowy o kredyt hipoteczny </w:t>
      </w:r>
      <w:r w:rsidR="002647FC">
        <w:rPr>
          <w:rFonts w:cs="Times New Roman"/>
        </w:rPr>
        <w:t>n</w:t>
      </w:r>
      <w:r w:rsidRPr="001A7012">
        <w:rPr>
          <w:rFonts w:cs="Times New Roman"/>
        </w:rPr>
        <w:t xml:space="preserve">r </w:t>
      </w:r>
      <w:r w:rsidR="002647FC">
        <w:rPr>
          <w:rFonts w:cs="Times New Roman"/>
        </w:rPr>
        <w:t>………………..</w:t>
      </w:r>
      <w:r w:rsidRPr="001A7012">
        <w:rPr>
          <w:rFonts w:cs="Times New Roman"/>
        </w:rPr>
        <w:t>bez zastosowania klauzul waloryzacyjnych – na okoliczność wysokości należnych Bankowi Millennium rat kapitałowo-odsetkowych bez zastosowania niedozwolonych postanowień umownych dotyczących klauzul waloryzacyjnych;</w:t>
      </w:r>
    </w:p>
    <w:p w14:paraId="4CEBE141" w14:textId="7F470CBC" w:rsidR="001A7012" w:rsidRDefault="001A7012" w:rsidP="001A7012">
      <w:pPr>
        <w:numPr>
          <w:ilvl w:val="0"/>
          <w:numId w:val="20"/>
        </w:numPr>
        <w:spacing w:line="360" w:lineRule="auto"/>
        <w:ind w:left="360"/>
        <w:jc w:val="both"/>
        <w:rPr>
          <w:rFonts w:cs="Times New Roman"/>
          <w:lang w:val="cs-CZ"/>
        </w:rPr>
      </w:pPr>
      <w:r w:rsidRPr="001A7012">
        <w:rPr>
          <w:rFonts w:cs="Times New Roman"/>
        </w:rPr>
        <w:t xml:space="preserve">zestawienia dla </w:t>
      </w:r>
      <w:r>
        <w:rPr>
          <w:rFonts w:cs="Times New Roman"/>
        </w:rPr>
        <w:t>a</w:t>
      </w:r>
      <w:r w:rsidRPr="001A7012">
        <w:rPr>
          <w:rFonts w:cs="Times New Roman"/>
        </w:rPr>
        <w:t xml:space="preserve">neksu nr </w:t>
      </w:r>
      <w:r w:rsidR="002647FC">
        <w:rPr>
          <w:rFonts w:cs="Times New Roman"/>
        </w:rPr>
        <w:t xml:space="preserve">…… </w:t>
      </w:r>
      <w:r w:rsidRPr="001A7012">
        <w:rPr>
          <w:rFonts w:cs="Times New Roman"/>
        </w:rPr>
        <w:t xml:space="preserve">do Umowy o kredyt hipoteczny </w:t>
      </w:r>
      <w:r w:rsidR="002647FC">
        <w:rPr>
          <w:rFonts w:cs="Times New Roman"/>
        </w:rPr>
        <w:t xml:space="preserve">………………. </w:t>
      </w:r>
      <w:r w:rsidRPr="001A7012">
        <w:rPr>
          <w:rFonts w:cs="Times New Roman"/>
        </w:rPr>
        <w:t xml:space="preserve">z dnia </w:t>
      </w:r>
      <w:r w:rsidR="002647FC">
        <w:rPr>
          <w:rFonts w:cs="Times New Roman"/>
        </w:rPr>
        <w:t>…………..</w:t>
      </w:r>
      <w:r w:rsidRPr="001A7012">
        <w:rPr>
          <w:rFonts w:cs="Times New Roman"/>
        </w:rPr>
        <w:t xml:space="preserve"> 2008 r. – na okoliczność  wysokości rat kapitałowo-odsetkowych uiszczonych przez Powodów w wykonaniu Umowy o kredyt hipoteczny </w:t>
      </w:r>
      <w:r w:rsidR="002647FC">
        <w:rPr>
          <w:rFonts w:cs="Times New Roman"/>
        </w:rPr>
        <w:t>nr ………………….</w:t>
      </w:r>
      <w:r w:rsidRPr="001A7012">
        <w:rPr>
          <w:rFonts w:cs="Times New Roman"/>
        </w:rPr>
        <w:t xml:space="preserve"> zmienionej w/w Aneksem oraz wysokości w/w rat przy zastosowaniu kursu średniego dla PLN ogłoszonego przez Narodowy Bank Polski z dnia wymagalności roszczenia;</w:t>
      </w:r>
    </w:p>
    <w:p w14:paraId="3CB25B42" w14:textId="11F22C37" w:rsidR="001A7012" w:rsidRPr="00552FDA" w:rsidRDefault="001A7012" w:rsidP="00C73B87">
      <w:pPr>
        <w:numPr>
          <w:ilvl w:val="0"/>
          <w:numId w:val="20"/>
        </w:numPr>
        <w:spacing w:line="360" w:lineRule="auto"/>
        <w:ind w:left="360"/>
        <w:jc w:val="both"/>
        <w:rPr>
          <w:rFonts w:cs="Times New Roman"/>
          <w:lang w:val="cs-CZ"/>
        </w:rPr>
      </w:pPr>
      <w:r w:rsidRPr="00552FDA">
        <w:rPr>
          <w:rFonts w:cs="Times New Roman"/>
        </w:rPr>
        <w:t xml:space="preserve">pisma powodów z dnia </w:t>
      </w:r>
      <w:r w:rsidR="002647FC">
        <w:rPr>
          <w:rFonts w:cs="Times New Roman"/>
        </w:rPr>
        <w:t xml:space="preserve">………….. </w:t>
      </w:r>
      <w:r w:rsidRPr="00552FDA">
        <w:rPr>
          <w:rFonts w:cs="Times New Roman"/>
        </w:rPr>
        <w:t xml:space="preserve">r. oraz pisma Banku Millennium S.A. z dnia </w:t>
      </w:r>
      <w:r w:rsidR="002647FC">
        <w:rPr>
          <w:rFonts w:cs="Times New Roman"/>
        </w:rPr>
        <w:t>………………</w:t>
      </w:r>
      <w:r w:rsidRPr="00552FDA">
        <w:rPr>
          <w:rFonts w:cs="Times New Roman"/>
        </w:rPr>
        <w:t xml:space="preserve">r. </w:t>
      </w:r>
      <w:r w:rsidR="00552FDA" w:rsidRPr="00552FDA">
        <w:rPr>
          <w:rFonts w:cs="Times New Roman"/>
        </w:rPr>
        <w:t xml:space="preserve">pisma powodów z dnia </w:t>
      </w:r>
      <w:r w:rsidR="002647FC">
        <w:rPr>
          <w:rFonts w:cs="Times New Roman"/>
        </w:rPr>
        <w:t>………………..</w:t>
      </w:r>
      <w:r w:rsidR="00552FDA" w:rsidRPr="00552FDA">
        <w:rPr>
          <w:rFonts w:cs="Times New Roman"/>
        </w:rPr>
        <w:t xml:space="preserve">r. odpowiedzi banku z dnia </w:t>
      </w:r>
      <w:r w:rsidR="002647FC">
        <w:rPr>
          <w:rFonts w:cs="Times New Roman"/>
        </w:rPr>
        <w:t>………………..</w:t>
      </w:r>
      <w:r w:rsidR="00552FDA" w:rsidRPr="00552FDA">
        <w:rPr>
          <w:rFonts w:cs="Times New Roman"/>
        </w:rPr>
        <w:t xml:space="preserve"> r. </w:t>
      </w:r>
      <w:r w:rsidRPr="00552FDA">
        <w:rPr>
          <w:rFonts w:cs="Times New Roman"/>
        </w:rPr>
        <w:t xml:space="preserve">– na okoliczność daty oraz treści pisma skierowane przez powodów do Banku Millennium S.A.  w przedmiocie usunięcia przez pozwanego z umowy o kredyt hipoteczny </w:t>
      </w:r>
      <w:r w:rsidR="002647FC">
        <w:rPr>
          <w:rFonts w:cs="Times New Roman"/>
        </w:rPr>
        <w:t>…………………</w:t>
      </w:r>
      <w:r w:rsidRPr="00552FDA">
        <w:rPr>
          <w:rFonts w:cs="Times New Roman"/>
        </w:rPr>
        <w:t xml:space="preserve">z dnia </w:t>
      </w:r>
      <w:r w:rsidR="002647FC">
        <w:rPr>
          <w:rFonts w:cs="Times New Roman"/>
        </w:rPr>
        <w:t xml:space="preserve"> ………………</w:t>
      </w:r>
      <w:r w:rsidRPr="00552FDA">
        <w:rPr>
          <w:rFonts w:cs="Times New Roman"/>
        </w:rPr>
        <w:t>2008 r. niedozwolonych klauzul indeksacyjnych, jak również daty oraz treści pisma zawierającego odpowiedź banku w powyższym zakresie;</w:t>
      </w:r>
    </w:p>
    <w:p w14:paraId="778953CC" w14:textId="167CB4E7" w:rsidR="00552FDA" w:rsidRPr="00552FDA" w:rsidRDefault="00552FDA" w:rsidP="00C73B87">
      <w:pPr>
        <w:numPr>
          <w:ilvl w:val="0"/>
          <w:numId w:val="20"/>
        </w:numPr>
        <w:spacing w:line="360" w:lineRule="auto"/>
        <w:ind w:left="360"/>
        <w:jc w:val="both"/>
        <w:rPr>
          <w:rFonts w:cs="Times New Roman"/>
          <w:lang w:val="cs-CZ"/>
        </w:rPr>
      </w:pPr>
      <w:r>
        <w:rPr>
          <w:rFonts w:cs="Times New Roman"/>
        </w:rPr>
        <w:t xml:space="preserve">zaświadczenia banku z dnia </w:t>
      </w:r>
      <w:r w:rsidR="002647FC">
        <w:rPr>
          <w:rFonts w:cs="Times New Roman"/>
        </w:rPr>
        <w:t>…………….</w:t>
      </w:r>
      <w:r>
        <w:rPr>
          <w:rFonts w:cs="Times New Roman"/>
        </w:rPr>
        <w:t xml:space="preserve"> roku o poniesionych kosztach kredytu hipotecznego na okoliczność </w:t>
      </w:r>
      <w:r w:rsidRPr="001A7012">
        <w:rPr>
          <w:rFonts w:cs="Times New Roman"/>
          <w:lang w:val="cs-CZ"/>
        </w:rPr>
        <w:t xml:space="preserve">zaciągnięcia zobowiązania na kwotę </w:t>
      </w:r>
      <w:r w:rsidR="002647FC">
        <w:rPr>
          <w:rFonts w:cs="Times New Roman"/>
          <w:lang w:val="cs-CZ"/>
        </w:rPr>
        <w:t>............</w:t>
      </w:r>
      <w:r w:rsidRPr="001A7012">
        <w:rPr>
          <w:rFonts w:cs="Times New Roman"/>
          <w:lang w:val="cs-CZ"/>
        </w:rPr>
        <w:t xml:space="preserve"> złotych, która to kwota w całości została przez powodów spłacona</w:t>
      </w:r>
      <w:r>
        <w:rPr>
          <w:rFonts w:cs="Times New Roman"/>
          <w:lang w:val="cs-CZ"/>
        </w:rPr>
        <w:t xml:space="preserve">. </w:t>
      </w:r>
    </w:p>
    <w:p w14:paraId="78425BC7" w14:textId="502EC296" w:rsidR="00064770" w:rsidRPr="002647FC" w:rsidRDefault="00FB43EA" w:rsidP="00064770">
      <w:pPr>
        <w:spacing w:line="360" w:lineRule="auto"/>
        <w:ind w:left="1068"/>
        <w:rPr>
          <w:rFonts w:cs="Times New Roman"/>
          <w:b/>
          <w:bCs/>
          <w:i/>
          <w:iCs/>
          <w:color w:val="C00000"/>
          <w:sz w:val="26"/>
          <w:szCs w:val="26"/>
          <w:lang w:val="cs-CZ"/>
        </w:rPr>
      </w:pPr>
      <w:r w:rsidRPr="002647FC">
        <w:rPr>
          <w:rFonts w:cs="Times New Roman"/>
          <w:b/>
          <w:bCs/>
          <w:i/>
          <w:iCs/>
          <w:color w:val="C00000"/>
          <w:sz w:val="26"/>
          <w:szCs w:val="26"/>
          <w:lang w:val="cs-CZ"/>
        </w:rPr>
        <w:t xml:space="preserve">Jednocześnie oświadczamy, że wyrażamy zgodę na uznanie umowy za nieważną. </w:t>
      </w:r>
    </w:p>
    <w:p w14:paraId="24C7E565" w14:textId="77777777" w:rsidR="00187727" w:rsidRPr="001165A5" w:rsidRDefault="00187727" w:rsidP="00552FDA">
      <w:pPr>
        <w:spacing w:line="360" w:lineRule="auto"/>
        <w:jc w:val="center"/>
        <w:rPr>
          <w:rFonts w:cs="Times New Roman"/>
          <w:b/>
          <w:bCs/>
          <w:sz w:val="28"/>
          <w:szCs w:val="28"/>
          <w:lang w:val="cs-CZ"/>
        </w:rPr>
      </w:pPr>
      <w:r w:rsidRPr="001165A5">
        <w:rPr>
          <w:rFonts w:cs="Times New Roman"/>
          <w:b/>
          <w:bCs/>
          <w:sz w:val="28"/>
          <w:szCs w:val="28"/>
          <w:lang w:val="cs-CZ"/>
        </w:rPr>
        <w:t>Uzasadnienie</w:t>
      </w:r>
    </w:p>
    <w:p w14:paraId="5AC0AB7E" w14:textId="5EB745EE" w:rsidR="00542C9D" w:rsidRPr="00542C9D" w:rsidRDefault="001A7012" w:rsidP="001A7012">
      <w:pPr>
        <w:suppressAutoHyphens w:val="0"/>
        <w:spacing w:after="150"/>
        <w:ind w:firstLine="708"/>
        <w:jc w:val="both"/>
        <w:rPr>
          <w:rFonts w:cs="Times New Roman"/>
          <w:color w:val="3A3A3A"/>
          <w:lang w:eastAsia="pl-PL"/>
        </w:rPr>
      </w:pPr>
      <w:r w:rsidRPr="00552FDA">
        <w:rPr>
          <w:rFonts w:cs="Times New Roman"/>
          <w:color w:val="3A3A3A"/>
          <w:lang w:eastAsia="pl-PL"/>
        </w:rPr>
        <w:t>Na</w:t>
      </w:r>
      <w:r w:rsidR="00542C9D" w:rsidRPr="00542C9D">
        <w:rPr>
          <w:rFonts w:cs="Times New Roman"/>
          <w:color w:val="3A3A3A"/>
          <w:lang w:eastAsia="pl-PL"/>
        </w:rPr>
        <w:t xml:space="preserve"> obecnym etapie postepowania, podniesiony zarzut abuzywności postanowień umownych umowy kredytowej </w:t>
      </w:r>
      <w:r w:rsidRPr="00552FDA">
        <w:rPr>
          <w:rFonts w:cs="Times New Roman"/>
          <w:color w:val="3A3A3A"/>
          <w:lang w:eastAsia="pl-PL"/>
        </w:rPr>
        <w:t xml:space="preserve">jest </w:t>
      </w:r>
      <w:r w:rsidR="00542C9D" w:rsidRPr="00542C9D">
        <w:rPr>
          <w:rFonts w:cs="Times New Roman"/>
          <w:color w:val="3A3A3A"/>
          <w:lang w:eastAsia="pl-PL"/>
        </w:rPr>
        <w:t>uprawdopodobniony w stopniu uzasadniający</w:t>
      </w:r>
      <w:r w:rsidRPr="00552FDA">
        <w:rPr>
          <w:rFonts w:cs="Times New Roman"/>
          <w:color w:val="3A3A3A"/>
          <w:lang w:eastAsia="pl-PL"/>
        </w:rPr>
        <w:t>m</w:t>
      </w:r>
      <w:r w:rsidR="00542C9D" w:rsidRPr="00542C9D">
        <w:rPr>
          <w:rFonts w:cs="Times New Roman"/>
          <w:color w:val="3A3A3A"/>
          <w:lang w:eastAsia="pl-PL"/>
        </w:rPr>
        <w:t xml:space="preserve"> zabezpieczenie roszczenia w sposób wnioskowany przez powodów.</w:t>
      </w:r>
      <w:r w:rsidRPr="00552FDA">
        <w:rPr>
          <w:rFonts w:cs="Times New Roman"/>
          <w:color w:val="3A3A3A"/>
          <w:lang w:eastAsia="pl-PL"/>
        </w:rPr>
        <w:t xml:space="preserve"> </w:t>
      </w:r>
    </w:p>
    <w:p w14:paraId="2C7FE69A" w14:textId="3768AF73" w:rsidR="00542C9D" w:rsidRDefault="00542C9D" w:rsidP="001A7012">
      <w:pPr>
        <w:suppressAutoHyphens w:val="0"/>
        <w:spacing w:after="150"/>
        <w:ind w:firstLine="708"/>
        <w:jc w:val="both"/>
        <w:rPr>
          <w:rFonts w:cs="Times New Roman"/>
          <w:color w:val="3A3A3A"/>
          <w:lang w:eastAsia="pl-PL"/>
        </w:rPr>
      </w:pPr>
      <w:r w:rsidRPr="00542C9D">
        <w:rPr>
          <w:rFonts w:cs="Times New Roman"/>
          <w:color w:val="3A3A3A"/>
          <w:lang w:eastAsia="pl-PL"/>
        </w:rPr>
        <w:t xml:space="preserve">Z dołączonych do </w:t>
      </w:r>
      <w:r w:rsidR="001A7012" w:rsidRPr="00552FDA">
        <w:rPr>
          <w:rFonts w:cs="Times New Roman"/>
          <w:color w:val="3A3A3A"/>
          <w:lang w:eastAsia="pl-PL"/>
        </w:rPr>
        <w:t>akt sprawy</w:t>
      </w:r>
      <w:r w:rsidRPr="00542C9D">
        <w:rPr>
          <w:rFonts w:cs="Times New Roman"/>
          <w:color w:val="3A3A3A"/>
          <w:lang w:eastAsia="pl-PL"/>
        </w:rPr>
        <w:t xml:space="preserve"> dokumentów wynika, iż powodowie </w:t>
      </w:r>
      <w:r w:rsidR="001A7012" w:rsidRPr="00552FDA">
        <w:rPr>
          <w:rFonts w:cs="Times New Roman"/>
          <w:color w:val="3A3A3A"/>
          <w:lang w:eastAsia="pl-PL"/>
        </w:rPr>
        <w:t>zaciągnęli</w:t>
      </w:r>
      <w:r w:rsidRPr="00542C9D">
        <w:rPr>
          <w:rFonts w:cs="Times New Roman"/>
          <w:color w:val="3A3A3A"/>
          <w:lang w:eastAsia="pl-PL"/>
        </w:rPr>
        <w:t xml:space="preserve"> kredyt hipoteczny na cele mieszkaniowe, zatem są konsumentami w rozumieniu art. 22 </w:t>
      </w:r>
      <w:r w:rsidRPr="00542C9D">
        <w:rPr>
          <w:rFonts w:cs="Times New Roman"/>
          <w:color w:val="3A3A3A"/>
          <w:vertAlign w:val="superscript"/>
          <w:lang w:eastAsia="pl-PL"/>
        </w:rPr>
        <w:t xml:space="preserve">1 </w:t>
      </w:r>
      <w:r w:rsidRPr="00542C9D">
        <w:rPr>
          <w:rFonts w:cs="Times New Roman"/>
          <w:color w:val="3A3A3A"/>
          <w:lang w:eastAsia="pl-PL"/>
        </w:rPr>
        <w:t xml:space="preserve">k.c. Natomiast pozwany bank, jako przedsiębiorca, posługiwał się przy zawieraniu umowy z wzorcem umownym. Fakt, czy zakwestionowane przez powodów postanowienia zostały z nimi uzgodnione indywidualnie spoczywa, zgodnie z art. 385 </w:t>
      </w:r>
      <w:r w:rsidRPr="00542C9D">
        <w:rPr>
          <w:rFonts w:cs="Times New Roman"/>
          <w:color w:val="3A3A3A"/>
          <w:vertAlign w:val="superscript"/>
          <w:lang w:eastAsia="pl-PL"/>
        </w:rPr>
        <w:t xml:space="preserve">1 </w:t>
      </w:r>
      <w:r w:rsidR="001A7012" w:rsidRPr="00552FDA">
        <w:rPr>
          <w:rFonts w:cs="Times New Roman"/>
          <w:color w:val="3A3A3A"/>
          <w:lang w:eastAsia="pl-PL"/>
        </w:rPr>
        <w:t xml:space="preserve">par. </w:t>
      </w:r>
      <w:r w:rsidRPr="00542C9D">
        <w:rPr>
          <w:rFonts w:cs="Times New Roman"/>
          <w:color w:val="3A3A3A"/>
          <w:lang w:eastAsia="pl-PL"/>
        </w:rPr>
        <w:t>4 k.</w:t>
      </w:r>
      <w:r w:rsidR="001A7012" w:rsidRPr="00552FDA">
        <w:rPr>
          <w:rFonts w:cs="Times New Roman"/>
          <w:color w:val="3A3A3A"/>
          <w:lang w:eastAsia="pl-PL"/>
        </w:rPr>
        <w:t xml:space="preserve"> </w:t>
      </w:r>
      <w:r w:rsidRPr="00542C9D">
        <w:rPr>
          <w:rFonts w:cs="Times New Roman"/>
          <w:color w:val="3A3A3A"/>
          <w:lang w:eastAsia="pl-PL"/>
        </w:rPr>
        <w:t xml:space="preserve">c. na pozwanym, jako stronie, która na ten fakt się powołuje i </w:t>
      </w:r>
      <w:r w:rsidR="001A7012" w:rsidRPr="00552FDA">
        <w:rPr>
          <w:rFonts w:cs="Times New Roman"/>
          <w:color w:val="3A3A3A"/>
          <w:lang w:eastAsia="pl-PL"/>
        </w:rPr>
        <w:t>jest</w:t>
      </w:r>
      <w:r w:rsidRPr="00542C9D">
        <w:rPr>
          <w:rFonts w:cs="Times New Roman"/>
          <w:color w:val="3A3A3A"/>
          <w:lang w:eastAsia="pl-PL"/>
        </w:rPr>
        <w:t xml:space="preserve"> przedmiotem postępowania rozpoznawczego</w:t>
      </w:r>
      <w:r w:rsidR="001A7012" w:rsidRPr="00552FDA">
        <w:rPr>
          <w:rFonts w:cs="Times New Roman"/>
          <w:color w:val="3A3A3A"/>
          <w:lang w:eastAsia="pl-PL"/>
        </w:rPr>
        <w:t xml:space="preserve">. Jednak dotąd przesłuchani świadkowie, którzy po stronie banku byli osobami podpisującymi umowę czynią prawdopodobnym twierdzenie, że wzorzec nie był z powodami indywidualnie uzgodniony. Ostatni świadek nie stawia się do Sądu z przyczyn nie leżących po stronie powodów, zaś podtrzymywanie </w:t>
      </w:r>
      <w:r w:rsidR="00EF4CF7">
        <w:rPr>
          <w:rFonts w:cs="Times New Roman"/>
          <w:color w:val="3A3A3A"/>
          <w:lang w:eastAsia="pl-PL"/>
        </w:rPr>
        <w:t xml:space="preserve">dowodu z zeznań tego świadka </w:t>
      </w:r>
      <w:bookmarkStart w:id="0" w:name="_GoBack"/>
      <w:bookmarkEnd w:id="0"/>
      <w:r w:rsidR="001A7012" w:rsidRPr="00552FDA">
        <w:rPr>
          <w:rFonts w:cs="Times New Roman"/>
          <w:color w:val="3A3A3A"/>
          <w:lang w:eastAsia="pl-PL"/>
        </w:rPr>
        <w:t xml:space="preserve">służy jedynie przewlekłości postępowania.  </w:t>
      </w:r>
    </w:p>
    <w:p w14:paraId="657F31DF" w14:textId="51F959F7" w:rsidR="00552FDA" w:rsidRPr="00542C9D" w:rsidRDefault="00552FDA" w:rsidP="001A7012">
      <w:pPr>
        <w:suppressAutoHyphens w:val="0"/>
        <w:spacing w:after="150"/>
        <w:ind w:firstLine="708"/>
        <w:jc w:val="both"/>
        <w:rPr>
          <w:rFonts w:cs="Times New Roman"/>
          <w:color w:val="3A3A3A"/>
          <w:lang w:eastAsia="pl-PL"/>
        </w:rPr>
      </w:pPr>
      <w:r>
        <w:rPr>
          <w:rFonts w:cs="Times New Roman"/>
          <w:color w:val="3A3A3A"/>
          <w:lang w:eastAsia="pl-PL"/>
        </w:rPr>
        <w:t xml:space="preserve">Co jest Sądowi wiadome z urzędu doszło do ogłoszenia stanu pandemii oraz zagrożenia epidemicznego, w związku z czym wszelkie wykonywanie działalności zarobkowej jest zagrożone. Stan zagrożenia potęguje zachwianie finansów publicznych oraz dalej idące, a nieznane obecnie </w:t>
      </w:r>
      <w:r>
        <w:rPr>
          <w:rFonts w:cs="Times New Roman"/>
          <w:color w:val="3A3A3A"/>
          <w:lang w:eastAsia="pl-PL"/>
        </w:rPr>
        <w:lastRenderedPageBreak/>
        <w:t xml:space="preserve">konsekwencje. Sytuacja materialna powodów nie jest zachwiana, jednak należy brać pod uwagę możliwość, że dalsze znoszenie przymusowego ściągania z rachunku bankowego opłat ratalnych o równowartości kwoty </w:t>
      </w:r>
      <w:r w:rsidR="004E278B">
        <w:rPr>
          <w:rFonts w:cs="Times New Roman"/>
          <w:color w:val="3A3A3A"/>
          <w:lang w:eastAsia="pl-PL"/>
        </w:rPr>
        <w:t xml:space="preserve">ok. </w:t>
      </w:r>
      <w:r w:rsidR="002647FC">
        <w:rPr>
          <w:rFonts w:cs="Times New Roman"/>
          <w:color w:val="3A3A3A"/>
          <w:lang w:eastAsia="pl-PL"/>
        </w:rPr>
        <w:t>……………</w:t>
      </w:r>
      <w:r>
        <w:rPr>
          <w:rFonts w:cs="Times New Roman"/>
          <w:color w:val="3A3A3A"/>
          <w:lang w:eastAsia="pl-PL"/>
        </w:rPr>
        <w:t xml:space="preserve">złotych (przybliżona równowartość obecnej raty kwoty </w:t>
      </w:r>
      <w:r w:rsidR="002647FC">
        <w:rPr>
          <w:rFonts w:cs="Times New Roman"/>
          <w:color w:val="3A3A3A"/>
          <w:lang w:eastAsia="pl-PL"/>
        </w:rPr>
        <w:t>………..</w:t>
      </w:r>
      <w:r>
        <w:rPr>
          <w:rFonts w:cs="Times New Roman"/>
          <w:color w:val="3A3A3A"/>
          <w:lang w:eastAsia="pl-PL"/>
        </w:rPr>
        <w:t xml:space="preserve">CHF) obecnie oraz ubezpieczenia w kwocie </w:t>
      </w:r>
      <w:r w:rsidR="002647FC">
        <w:rPr>
          <w:rFonts w:cs="Times New Roman"/>
          <w:color w:val="3A3A3A"/>
          <w:lang w:eastAsia="pl-PL"/>
        </w:rPr>
        <w:t>………..</w:t>
      </w:r>
      <w:r>
        <w:rPr>
          <w:rFonts w:cs="Times New Roman"/>
          <w:color w:val="3A3A3A"/>
          <w:lang w:eastAsia="pl-PL"/>
        </w:rPr>
        <w:t>złotych</w:t>
      </w:r>
      <w:r w:rsidR="004E278B">
        <w:rPr>
          <w:rFonts w:cs="Times New Roman"/>
          <w:color w:val="3A3A3A"/>
          <w:lang w:eastAsia="pl-PL"/>
        </w:rPr>
        <w:t xml:space="preserve"> może zagrozić płynności finansowej rodziny z dzieckiem, gdy okaże się, że dojdzie do znacznego wzrostu kursu CHF, co już w historii się zdarzyło. Z zestawienia wykonanego przez wgląd do rachunku bankowego w dacie sporządzania wniosku bankowi wydaje się, że rości sobie jeszcze pretensje do kwoty </w:t>
      </w:r>
      <w:r w:rsidR="002647FC">
        <w:rPr>
          <w:rFonts w:cs="Times New Roman"/>
          <w:color w:val="3A3A3A"/>
          <w:lang w:eastAsia="pl-PL"/>
        </w:rPr>
        <w:t>…………….</w:t>
      </w:r>
      <w:r w:rsidR="004E278B">
        <w:rPr>
          <w:rFonts w:cs="Times New Roman"/>
          <w:color w:val="3A3A3A"/>
          <w:lang w:eastAsia="pl-PL"/>
        </w:rPr>
        <w:t>złotych.</w:t>
      </w:r>
      <w:r w:rsidR="00FB43EA">
        <w:rPr>
          <w:rFonts w:cs="Times New Roman"/>
          <w:color w:val="3A3A3A"/>
          <w:lang w:eastAsia="pl-PL"/>
        </w:rPr>
        <w:t xml:space="preserve"> Tymczasem prosta analiza spłaty kredytu, która może być samodzielnie przeprowadzona przez Sąd w arkuszu kalkulacyjnym dozwala na przyjęcie wniosku, że kredyt w kwocie</w:t>
      </w:r>
      <w:r w:rsidR="002647FC">
        <w:rPr>
          <w:rFonts w:cs="Times New Roman"/>
          <w:color w:val="3A3A3A"/>
          <w:lang w:eastAsia="pl-PL"/>
        </w:rPr>
        <w:t xml:space="preserve"> ……………</w:t>
      </w:r>
      <w:r w:rsidR="00FB43EA">
        <w:rPr>
          <w:rFonts w:cs="Times New Roman"/>
          <w:color w:val="3A3A3A"/>
          <w:lang w:eastAsia="pl-PL"/>
        </w:rPr>
        <w:t xml:space="preserve"> złotych został już spłacony. </w:t>
      </w:r>
    </w:p>
    <w:p w14:paraId="6113B9AD" w14:textId="2820F6C0" w:rsidR="001A7012" w:rsidRPr="001A7012" w:rsidRDefault="00542C9D" w:rsidP="001A7012">
      <w:pPr>
        <w:suppressAutoHyphens w:val="0"/>
        <w:spacing w:after="150"/>
        <w:ind w:firstLine="708"/>
        <w:jc w:val="both"/>
        <w:rPr>
          <w:rFonts w:cs="Times New Roman"/>
        </w:rPr>
      </w:pPr>
      <w:r w:rsidRPr="00542C9D">
        <w:rPr>
          <w:rFonts w:cs="Times New Roman"/>
          <w:color w:val="3A3A3A"/>
          <w:lang w:eastAsia="pl-PL"/>
        </w:rPr>
        <w:t xml:space="preserve">Strona powodowa podnosi, że abuzywne są postanowienia zawarte w </w:t>
      </w:r>
      <w:r w:rsidR="001A7012" w:rsidRPr="00552FDA">
        <w:rPr>
          <w:rFonts w:cs="Times New Roman"/>
          <w:color w:val="3A3A3A"/>
          <w:lang w:eastAsia="pl-PL"/>
        </w:rPr>
        <w:t>umowie kredytu. A</w:t>
      </w:r>
      <w:r w:rsidR="001A7012" w:rsidRPr="00552FDA">
        <w:rPr>
          <w:rFonts w:cs="Times New Roman"/>
        </w:rPr>
        <w:t>buzywny charakter klauzul indeksacyjnych stosowanych przez Bank Millennium został stwierdzony</w:t>
      </w:r>
      <w:r w:rsidR="001A7012" w:rsidRPr="001A7012">
        <w:rPr>
          <w:rFonts w:cs="Times New Roman"/>
        </w:rPr>
        <w:t xml:space="preserve"> wyrokiem z dnia 14 grudnia 2010 r. przez Sąd Okręgowy w Warszawie Wydział XVII Ochrony Konkurencji i Konsumentów, sygn. akt XVII AmC 426/09, Legalis nr 815926, w którym za niedozwolone w rozumieniu art. 385</w:t>
      </w:r>
      <w:r w:rsidR="001A7012" w:rsidRPr="001A7012">
        <w:rPr>
          <w:rFonts w:cs="Times New Roman"/>
          <w:vertAlign w:val="superscript"/>
        </w:rPr>
        <w:t>1</w:t>
      </w:r>
      <w:r w:rsidR="001A7012" w:rsidRPr="001A7012">
        <w:rPr>
          <w:rFonts w:cs="Times New Roman"/>
        </w:rPr>
        <w:t xml:space="preserve"> §1 k.c. uznane zostały następujące klauzule stosowane przez Millenium Bank S.A. w umowach kredytowych:</w:t>
      </w:r>
    </w:p>
    <w:p w14:paraId="4CC70DD2" w14:textId="77777777" w:rsidR="001A7012" w:rsidRPr="001A7012" w:rsidRDefault="001A7012" w:rsidP="001A7012">
      <w:pPr>
        <w:spacing w:before="100" w:beforeAutospacing="1" w:after="100" w:afterAutospacing="1"/>
        <w:ind w:left="360"/>
        <w:jc w:val="both"/>
        <w:rPr>
          <w:rFonts w:cs="Times New Roman"/>
          <w:i/>
          <w:iCs/>
        </w:rPr>
      </w:pPr>
      <w:r w:rsidRPr="001A7012">
        <w:rPr>
          <w:rFonts w:cs="Times New Roman"/>
          <w:i/>
          <w:iCs/>
        </w:rPr>
        <w:t>1/ „kredyt jest indeksowany CHF/USD/EUR po przeliczeniu wypłaconej kwoty zgodnie z kursem kupna CHF/USD/EUR według Tabeli Kursów Walut Obcych obowiązującej w banku Millenium w dniu uruchomienia kredytu lub transzy”;</w:t>
      </w:r>
    </w:p>
    <w:p w14:paraId="0B6A0151" w14:textId="77777777" w:rsidR="001A7012" w:rsidRPr="001A7012" w:rsidRDefault="001A7012" w:rsidP="001A7012">
      <w:pPr>
        <w:spacing w:before="100" w:beforeAutospacing="1" w:after="100" w:afterAutospacing="1"/>
        <w:ind w:left="360"/>
        <w:jc w:val="both"/>
        <w:rPr>
          <w:rFonts w:cs="Times New Roman"/>
        </w:rPr>
      </w:pPr>
      <w:r w:rsidRPr="001A7012">
        <w:rPr>
          <w:rFonts w:cs="Times New Roman"/>
          <w:i/>
          <w:iCs/>
        </w:rPr>
        <w:t>2/ „w przypadku kredytu indeksowanego kursem waluty obcej rata spłaty obliczona jest według kursu sprzedaży dewiz obowiązującego w Banku na podstawie obowiązującej w Banku Tabeli Kursów Walut Obcych z dnia spłaty”.</w:t>
      </w:r>
    </w:p>
    <w:p w14:paraId="47674D77" w14:textId="5521CA95" w:rsidR="001A7012" w:rsidRPr="00FB43EA" w:rsidRDefault="001A7012" w:rsidP="00FB43EA">
      <w:pPr>
        <w:suppressAutoHyphens w:val="0"/>
        <w:spacing w:after="150"/>
        <w:ind w:firstLine="708"/>
        <w:jc w:val="both"/>
        <w:rPr>
          <w:rFonts w:cs="Times New Roman"/>
          <w:color w:val="3A3A3A"/>
          <w:lang w:eastAsia="pl-PL"/>
        </w:rPr>
      </w:pPr>
      <w:r w:rsidRPr="00FB43EA">
        <w:rPr>
          <w:rFonts w:cs="Times New Roman"/>
          <w:color w:val="3A3A3A"/>
          <w:lang w:eastAsia="pl-PL"/>
        </w:rPr>
        <w:t>Wyrok ten jest prawomocny</w:t>
      </w:r>
      <w:r w:rsidR="00FB43EA" w:rsidRPr="00FB43EA">
        <w:rPr>
          <w:rFonts w:cs="Times New Roman"/>
          <w:color w:val="3A3A3A"/>
          <w:lang w:eastAsia="pl-PL"/>
        </w:rPr>
        <w:t xml:space="preserve"> na podstawie </w:t>
      </w:r>
      <w:r w:rsidR="00FB43EA" w:rsidRPr="00FB43EA">
        <w:rPr>
          <w:rFonts w:cs="Times New Roman"/>
          <w:color w:val="000000"/>
          <w:shd w:val="clear" w:color="auto" w:fill="FFFFFF"/>
        </w:rPr>
        <w:t xml:space="preserve">wyroku Sądu Apelacyjnego w Warszawie z dnia 21 października 2011 r. (VI Wydział Cywilny - sygn. akt VI Ca 420/11) </w:t>
      </w:r>
      <w:r w:rsidRPr="00FB43EA">
        <w:rPr>
          <w:rFonts w:cs="Times New Roman"/>
          <w:color w:val="3A3A3A"/>
          <w:lang w:eastAsia="pl-PL"/>
        </w:rPr>
        <w:t xml:space="preserve"> i powszechnie obowiązujący. </w:t>
      </w:r>
    </w:p>
    <w:p w14:paraId="42C249A6" w14:textId="5277189A" w:rsidR="00542C9D" w:rsidRPr="00542C9D" w:rsidRDefault="00542C9D" w:rsidP="001A7012">
      <w:pPr>
        <w:suppressAutoHyphens w:val="0"/>
        <w:spacing w:after="150"/>
        <w:ind w:firstLine="708"/>
        <w:jc w:val="both"/>
        <w:rPr>
          <w:rFonts w:cs="Times New Roman"/>
          <w:color w:val="3A3A3A"/>
          <w:lang w:eastAsia="pl-PL"/>
        </w:rPr>
      </w:pPr>
      <w:r w:rsidRPr="00542C9D">
        <w:rPr>
          <w:rFonts w:cs="Times New Roman"/>
          <w:color w:val="3A3A3A"/>
          <w:lang w:eastAsia="pl-PL"/>
        </w:rPr>
        <w:t xml:space="preserve">Wobec powyższego podnieść trzeba, iż zgodnie z brzmieniem art. 385 </w:t>
      </w:r>
      <w:r w:rsidRPr="00542C9D">
        <w:rPr>
          <w:rFonts w:cs="Times New Roman"/>
          <w:color w:val="3A3A3A"/>
          <w:vertAlign w:val="superscript"/>
          <w:lang w:eastAsia="pl-PL"/>
        </w:rPr>
        <w:t xml:space="preserve">1 </w:t>
      </w:r>
      <w:r w:rsidR="001A7012">
        <w:rPr>
          <w:rFonts w:cs="Times New Roman"/>
          <w:color w:val="3A3A3A"/>
          <w:lang w:eastAsia="pl-PL"/>
        </w:rPr>
        <w:t xml:space="preserve">par. </w:t>
      </w:r>
      <w:r w:rsidRPr="00542C9D">
        <w:rPr>
          <w:rFonts w:cs="Times New Roman"/>
          <w:color w:val="3A3A3A"/>
          <w:lang w:eastAsia="pl-PL"/>
        </w:rPr>
        <w:t>1 k.c. postanowienia umowy zawartej z konsumentem nieuzgodnione indywidualnie nie wiążą go, jeżeli kształtują jego prawa i obowiązki w sposób sprzeczny z dobrymi obyczajami, rażąco naruszając jego interesy. Nie dotyczy to postanowień określających świadczenie główne, w tym cenę lub wynagrodzenie, jeżeli zostały sformułowane w sposób jednoznaczny.</w:t>
      </w:r>
    </w:p>
    <w:p w14:paraId="3290491C" w14:textId="1B943566" w:rsidR="00542C9D" w:rsidRDefault="00542C9D" w:rsidP="00552FDA">
      <w:pPr>
        <w:suppressAutoHyphens w:val="0"/>
        <w:spacing w:after="150"/>
        <w:ind w:firstLine="708"/>
        <w:jc w:val="both"/>
        <w:rPr>
          <w:rFonts w:cs="Times New Roman"/>
          <w:color w:val="3A3A3A"/>
          <w:lang w:eastAsia="pl-PL"/>
        </w:rPr>
      </w:pPr>
      <w:r w:rsidRPr="00542C9D">
        <w:rPr>
          <w:rFonts w:cs="Times New Roman"/>
          <w:b/>
          <w:bCs/>
          <w:color w:val="3A3A3A"/>
          <w:lang w:eastAsia="pl-PL"/>
        </w:rPr>
        <w:t>Należy przy tym zaznaczyć, że klauzule podobne do zakwestionowanych przez powodów zostały już uznane przez orzecznictwo za abuzywne</w:t>
      </w:r>
      <w:r w:rsidRPr="00542C9D">
        <w:rPr>
          <w:rFonts w:cs="Times New Roman"/>
          <w:color w:val="3A3A3A"/>
          <w:lang w:eastAsia="pl-PL"/>
        </w:rPr>
        <w:t xml:space="preserve">. Sąd Apelacyjny dla przykładu wskazuje w tym zakresie na wyrok Sądu Okręgowego w Warszawie Sądu Ochrony Konkurencji i Konsumentów z dnia 27 grudnia 2010 roku wydany w sprawie o sygn. VII AmC 1531/09. Sąd Okręgowy dokonał w nim analizy postanowienia zgodnie, z którym rata kredytu spłacana jest przez klienta w złotych polskich w wysokości wynikającej z przeliczenia należnej kwoty wyrażonej we frankach szwajcarskich na PLN według kursu sprzedaży CHF zamieszczonego w tabeli kursowej (a..) Banku obowiązującego na dzień spłaty z godziny 14:50. Zdaniem Sądu Okręgowego, Bank przyznał sobie w ten sposób prawo do jednostronnego regulowania wysokości rat kredytu waloryzowanego kursem CHF poprzez wyznaczanie w tabelach kursowych kursu sprzedaży franka szwajcarskiego oraz wartości spreadu walutowego (rozumianego jako różnica pomiędzy kursem sprzedaży a kursem zakupu waluty obcej). Wzorzec umowy o kredyt hipoteczny nie precyzuje bowiem sposobu ustalania kursu wymiany walut wskazanego w tabeli kursów banku. W szczególności postanowienia przedmiotowej umowy nie przewidują wymogu, aby wysokość kursu ustalanego przez Bank pozostawała w określonej relacji do aktualnego kursu CHF ukształtowanego przez rynek walutowy lub na przykład kursu średniego publikowanego przez Narodowy Bank Polski. Oznacza to, że </w:t>
      </w:r>
      <w:r w:rsidRPr="00542C9D">
        <w:rPr>
          <w:rFonts w:cs="Times New Roman"/>
          <w:color w:val="3A3A3A"/>
          <w:lang w:eastAsia="pl-PL"/>
        </w:rPr>
        <w:lastRenderedPageBreak/>
        <w:t>Bankowi pozostawiona została dowolność w zakresie wyboru kryteriów ustalania kursu CHF w swoich tabelach kursowych, a przez to kształtowania wysokości zobowiązań klientów, których kredyty waloryzowane są kursem CHF.</w:t>
      </w:r>
    </w:p>
    <w:p w14:paraId="1FD14207" w14:textId="70E542A6" w:rsidR="004E278B" w:rsidRDefault="004E278B" w:rsidP="00552FDA">
      <w:pPr>
        <w:suppressAutoHyphens w:val="0"/>
        <w:spacing w:after="150"/>
        <w:ind w:firstLine="708"/>
        <w:jc w:val="both"/>
        <w:rPr>
          <w:rFonts w:cs="Times New Roman"/>
          <w:color w:val="3A3A3A"/>
          <w:lang w:eastAsia="pl-PL"/>
        </w:rPr>
      </w:pPr>
      <w:r>
        <w:rPr>
          <w:rFonts w:cs="Times New Roman"/>
          <w:color w:val="3A3A3A"/>
          <w:lang w:eastAsia="pl-PL"/>
        </w:rPr>
        <w:t>Granice swobody umów, związane z samą istotą, naturą umowy, również kredytowej, nie pozwalają więc na akceptacje takiej treści zapisów dotyczących indeksacji kredytu do CHF, jakie znalazły się w zakwestionowanym wzorcu umownym użytym do zawarcia umowy przez strony. Przekraczały bowiem z podanych powodów granice wyznaczone treścią stosunków obligacyjnych. Jako sprzeczne z art. 353 ze zn. 1 k.c. nie pozwalają na uznanie jej ważności. Chodzi w tej części umowy o główne, podstawowe obowiązki powodów związane ze spłatą uzyskanego kredytu. Tego rodzaju ocena nie została wykluczona w wyroku TSUE z 3 października 2019 r. (C-260/18; pkt 36), mimo że zadane pytania nie dotyczyły wprost oceny ważności podobnej umowy, na gruncie krajowego tylko porządku prawnego, lecz odnosiły się do zastosowania dyrektywy 93/13 przy ocenie konsekwencji uznania założonej w ich treści abuzywności klauzul tego samego rodzaju, w utrzymania, uzupełnienia</w:t>
      </w:r>
      <w:r w:rsidR="00330DF6">
        <w:rPr>
          <w:rFonts w:cs="Times New Roman"/>
          <w:color w:val="3A3A3A"/>
          <w:lang w:eastAsia="pl-PL"/>
        </w:rPr>
        <w:t xml:space="preserve"> albo pominięcia umowy tego rodzaju. </w:t>
      </w:r>
    </w:p>
    <w:p w14:paraId="27991985" w14:textId="77777777" w:rsidR="00742FF5" w:rsidRPr="00742FF5" w:rsidRDefault="00742FF5" w:rsidP="00742FF5">
      <w:pPr>
        <w:pStyle w:val="NormalnyWeb"/>
        <w:spacing w:before="0" w:after="0" w:line="240" w:lineRule="auto"/>
        <w:ind w:firstLine="708"/>
        <w:rPr>
          <w:rFonts w:cs="Times New Roman"/>
          <w:color w:val="484848"/>
          <w:lang w:eastAsia="pl-PL"/>
        </w:rPr>
      </w:pPr>
      <w:r w:rsidRPr="00742FF5">
        <w:rPr>
          <w:rFonts w:cs="Times New Roman"/>
          <w:color w:val="484848"/>
        </w:rPr>
        <w:t xml:space="preserve">W myśl </w:t>
      </w:r>
      <w:hyperlink r:id="rId7" w:tooltip="Ustawa z dnia 17 listopada 1964 r. - Kodeks postępowania cywilnego - Dz. U. z 1964 r. Nr 43, poz. 296 (art. 730(1);art. 730(1) § 1)" w:history="1">
        <w:r w:rsidRPr="00742FF5">
          <w:rPr>
            <w:rStyle w:val="Hipercze"/>
            <w:rFonts w:cs="Times New Roman"/>
            <w:color w:val="484848"/>
          </w:rPr>
          <w:t>art. 730</w:t>
        </w:r>
        <w:r w:rsidRPr="00742FF5">
          <w:rPr>
            <w:rStyle w:val="Hipercze"/>
            <w:rFonts w:cs="Times New Roman"/>
            <w:color w:val="484848"/>
            <w:vertAlign w:val="superscript"/>
          </w:rPr>
          <w:t xml:space="preserve"> 1 </w:t>
        </w:r>
        <w:r w:rsidRPr="00742FF5">
          <w:rPr>
            <w:rStyle w:val="Hipercze"/>
            <w:rFonts w:cs="Times New Roman"/>
            <w:color w:val="484848"/>
          </w:rPr>
          <w:t>§ 1 kpc</w:t>
        </w:r>
      </w:hyperlink>
      <w:r w:rsidRPr="00742FF5">
        <w:rPr>
          <w:rFonts w:cs="Times New Roman"/>
          <w:color w:val="484848"/>
        </w:rPr>
        <w:t xml:space="preserve"> udzielenia zabezpieczenia może żądać każda strona lub uczestnik postępowania, jeżeli uprawdopodobni roszczenie oraz interes prawny w udzieleniu zabezpieczenia. Stosownie do treści </w:t>
      </w:r>
      <w:hyperlink r:id="rId8" w:tooltip="Ustawa z dnia 17 listopada 1964 r. - Kodeks postępowania cywilnego - Dz. U. z 1964 r. Nr 43, poz. 296 (art. 730(1) § 2)" w:history="1">
        <w:r w:rsidRPr="00742FF5">
          <w:rPr>
            <w:rStyle w:val="Hipercze"/>
            <w:rFonts w:cs="Times New Roman"/>
            <w:color w:val="484848"/>
          </w:rPr>
          <w:t>§ 2</w:t>
        </w:r>
      </w:hyperlink>
      <w:r w:rsidRPr="00742FF5">
        <w:rPr>
          <w:rFonts w:cs="Times New Roman"/>
          <w:color w:val="484848"/>
        </w:rPr>
        <w:t xml:space="preserve"> cytowanego przepisu interes prawny w udzieleniu zabezpieczenia istnieje wtedy, gdy brak zabezpieczenia uniemożliwi lub poważnie utrudni wykonanie zapadłego w sprawie orzeczenia lub w inny sposób uniemożliwi lub poważnie utrudni osiągnięcie celu postępowania w sprawie.</w:t>
      </w:r>
    </w:p>
    <w:p w14:paraId="3774DBE2" w14:textId="77777777" w:rsidR="00742FF5" w:rsidRPr="00742FF5" w:rsidRDefault="00742FF5" w:rsidP="00742FF5">
      <w:pPr>
        <w:pStyle w:val="NormalnyWeb"/>
        <w:spacing w:before="0" w:after="0" w:line="240" w:lineRule="auto"/>
        <w:ind w:firstLine="708"/>
        <w:rPr>
          <w:rFonts w:cs="Times New Roman"/>
          <w:color w:val="484848"/>
        </w:rPr>
      </w:pPr>
      <w:r w:rsidRPr="00742FF5">
        <w:rPr>
          <w:rFonts w:cs="Times New Roman"/>
          <w:color w:val="484848"/>
        </w:rPr>
        <w:t>W/w przepis wymienia dwie podstawy: istnienie roszczenia podlegającego zabezpieczeniu oraz interes prawny w udzieleniu zabezpieczenia. Muszą one być wykazane łącznie. Brak tych podstaw lub ich niewykazanie powoduje oddalenie wniosku o udzielenie zabezpieczenia.</w:t>
      </w:r>
    </w:p>
    <w:p w14:paraId="19243B68" w14:textId="3090F1DC" w:rsidR="00742FF5" w:rsidRPr="00742FF5" w:rsidRDefault="00742FF5" w:rsidP="00742FF5">
      <w:pPr>
        <w:pStyle w:val="NormalnyWeb"/>
        <w:spacing w:before="0" w:after="0" w:line="240" w:lineRule="auto"/>
        <w:ind w:firstLine="708"/>
        <w:rPr>
          <w:rFonts w:cs="Times New Roman"/>
          <w:color w:val="484848"/>
        </w:rPr>
      </w:pPr>
      <w:r w:rsidRPr="00742FF5">
        <w:rPr>
          <w:rFonts w:cs="Times New Roman"/>
          <w:color w:val="484848"/>
        </w:rPr>
        <w:t xml:space="preserve">Użyte w </w:t>
      </w:r>
      <w:hyperlink r:id="rId9" w:tooltip="Ustawa z dnia 17 listopada 1964 r. - Kodeks postępowania cywilnego - Dz. U. z 1964 r. Nr 43, poz. 296 (art. 730(1))" w:history="1">
        <w:r w:rsidRPr="00742FF5">
          <w:rPr>
            <w:rStyle w:val="Hipercze"/>
            <w:rFonts w:cs="Times New Roman"/>
            <w:color w:val="484848"/>
          </w:rPr>
          <w:t>art. 730</w:t>
        </w:r>
        <w:r w:rsidRPr="00742FF5">
          <w:rPr>
            <w:rStyle w:val="Hipercze"/>
            <w:rFonts w:cs="Times New Roman"/>
            <w:color w:val="484848"/>
            <w:vertAlign w:val="superscript"/>
          </w:rPr>
          <w:t xml:space="preserve"> 1 </w:t>
        </w:r>
        <w:r w:rsidRPr="00742FF5">
          <w:rPr>
            <w:rStyle w:val="Hipercze"/>
            <w:rFonts w:cs="Times New Roman"/>
            <w:color w:val="484848"/>
          </w:rPr>
          <w:t>kpc</w:t>
        </w:r>
      </w:hyperlink>
      <w:r w:rsidRPr="00742FF5">
        <w:rPr>
          <w:rFonts w:cs="Times New Roman"/>
          <w:color w:val="484848"/>
        </w:rPr>
        <w:t xml:space="preserve"> pojęcie roszczenia należy rozumieć szeroko — jako każde uprawnienie doznające ochrony prawnej, sytuację prawną danego przedmiotu lub roszczenie procesowe, będące przedmiotem postępowania cywilnego, w związku z którym zabezpieczenie orzeczono. </w:t>
      </w:r>
      <w:r w:rsidRPr="00742FF5">
        <w:rPr>
          <w:rStyle w:val="underline"/>
          <w:rFonts w:cs="Times New Roman"/>
          <w:color w:val="484848"/>
        </w:rPr>
        <w:t xml:space="preserve">Uprawniony musi uprawdopodobnić istnienie roszczenia oraz to, że roszczenie to jemu przysługuje. Wnioskodawca zatem musi przytoczyć takie okoliczności, z których będzie wynikać, że roszczenie mu przysługuje, a okoliczności te będą przez niego uprawdopodobnione. </w:t>
      </w:r>
      <w:r w:rsidRPr="00742FF5">
        <w:rPr>
          <w:rFonts w:cs="Times New Roman"/>
          <w:color w:val="484848"/>
        </w:rPr>
        <w:t xml:space="preserve">Przy ocenie prawdopodobieństwa roszczenia nie można abstrahować od tego, czy fakty przytoczone przez uprawnionego tworzą to roszczenie w świetle przepisów prawa. Wiarygodność dotyczy więc nie tylko podstawy faktycznej, ale i prawnej roszczenia. Uprawdopodobnienie, jako instytucja kodeksowa, odnosi się do sytuacji, w których ustawa procesowa nie wymaga ustalenia twierdzeń o faktach przy pomocy dowodów, </w:t>
      </w:r>
      <w:r w:rsidRPr="00742FF5">
        <w:rPr>
          <w:rStyle w:val="underline"/>
          <w:rFonts w:cs="Times New Roman"/>
          <w:color w:val="484848"/>
        </w:rPr>
        <w:t>lecz zadawala się mniejszym stopniem pewności — uprawdopodobnieniem tych twierdzeń</w:t>
      </w:r>
      <w:r w:rsidRPr="00742FF5">
        <w:rPr>
          <w:rFonts w:cs="Times New Roman"/>
          <w:color w:val="484848"/>
        </w:rPr>
        <w:t>. Nie stanowi uprawdopodobnienia roszczenia sam fakt, że wytoczono o nie powództwo.</w:t>
      </w:r>
      <w:r>
        <w:rPr>
          <w:rFonts w:cs="Times New Roman"/>
          <w:color w:val="484848"/>
        </w:rPr>
        <w:t xml:space="preserve"> Materiał dowodowy zgromadzony w sprawie oraz dołączony do niniejszego wniosku jednak wyczerpują tę przesłankę. </w:t>
      </w:r>
    </w:p>
    <w:p w14:paraId="1E07B124" w14:textId="77777777" w:rsidR="00742FF5" w:rsidRPr="00742FF5" w:rsidRDefault="00742FF5" w:rsidP="00742FF5">
      <w:pPr>
        <w:pStyle w:val="NormalnyWeb"/>
        <w:spacing w:before="0" w:after="0" w:line="240" w:lineRule="auto"/>
        <w:ind w:firstLine="708"/>
        <w:rPr>
          <w:rFonts w:cs="Times New Roman"/>
          <w:color w:val="484848"/>
        </w:rPr>
      </w:pPr>
      <w:r w:rsidRPr="00742FF5">
        <w:rPr>
          <w:rFonts w:cs="Times New Roman"/>
          <w:color w:val="484848"/>
        </w:rPr>
        <w:t xml:space="preserve">Drugą wymaganą kumulatywnie przez </w:t>
      </w:r>
      <w:hyperlink r:id="rId10" w:tooltip="Ustawa z dnia 17 listopada 1964 r. - Kodeks postępowania cywilnego - Dz. U. z 1964 r. Nr 43, poz. 296 (art. 730(1))" w:history="1">
        <w:r w:rsidRPr="00742FF5">
          <w:rPr>
            <w:rStyle w:val="Hipercze"/>
            <w:rFonts w:cs="Times New Roman"/>
            <w:color w:val="484848"/>
          </w:rPr>
          <w:t>art. 730</w:t>
        </w:r>
        <w:r w:rsidRPr="00742FF5">
          <w:rPr>
            <w:rStyle w:val="Hipercze"/>
            <w:rFonts w:cs="Times New Roman"/>
            <w:color w:val="484848"/>
            <w:vertAlign w:val="superscript"/>
          </w:rPr>
          <w:t xml:space="preserve"> 1</w:t>
        </w:r>
        <w:r w:rsidRPr="00742FF5">
          <w:rPr>
            <w:rStyle w:val="Hipercze"/>
            <w:rFonts w:cs="Times New Roman"/>
            <w:color w:val="484848"/>
          </w:rPr>
          <w:t xml:space="preserve"> kpc</w:t>
        </w:r>
      </w:hyperlink>
      <w:r w:rsidRPr="00742FF5">
        <w:rPr>
          <w:rFonts w:cs="Times New Roman"/>
          <w:color w:val="484848"/>
        </w:rPr>
        <w:t xml:space="preserve"> podstawą zabezpieczenia jest interes prawny w udzieleniu zabezpieczenia. W </w:t>
      </w:r>
      <w:hyperlink r:id="rId11" w:tooltip="Ustawa z dnia 17 listopada 1964 r. - Kodeks postępowania cywilnego - Dz. U. z 1964 r. Nr 43, poz. 296 (art. 730(1) § 2)" w:history="1">
        <w:r w:rsidRPr="00742FF5">
          <w:rPr>
            <w:rStyle w:val="Hipercze"/>
            <w:rFonts w:cs="Times New Roman"/>
            <w:color w:val="484848"/>
          </w:rPr>
          <w:t>§ 2</w:t>
        </w:r>
      </w:hyperlink>
      <w:r w:rsidRPr="00742FF5">
        <w:rPr>
          <w:rFonts w:cs="Times New Roman"/>
          <w:color w:val="484848"/>
        </w:rPr>
        <w:t xml:space="preserve"> tego przepisu ustawodawca określił, kiedy występuje interes prawny w udzieleniu (dokonaniu) zabezpieczenia — jeżeli brak zabezpieczenia uniemożliwia lub poważnie utrudnia wykonanie zapadłego w sprawie orzeczenia lub w inny sposób uniemożliwi lub poważnie utrudni osiągnięcie celu postępowania w sprawie. Najczęściej interes ten określa się jako obiektywną w świetle obowiązujących przepisów, czyli wywołaną </w:t>
      </w:r>
      <w:r w:rsidRPr="00742FF5">
        <w:rPr>
          <w:rStyle w:val="underline"/>
          <w:rFonts w:cs="Times New Roman"/>
          <w:color w:val="484848"/>
        </w:rPr>
        <w:t>rzeczywistą koniecznością ochrony określonej sfery prawnej,</w:t>
      </w:r>
      <w:r w:rsidRPr="00742FF5">
        <w:rPr>
          <w:rFonts w:cs="Times New Roman"/>
          <w:color w:val="484848"/>
        </w:rPr>
        <w:t xml:space="preserve"> potrzebę uzyskania orzeczenia sądowego o odpowiedniej treści.</w:t>
      </w:r>
    </w:p>
    <w:p w14:paraId="282379F0" w14:textId="61BDC166" w:rsidR="00742FF5" w:rsidRPr="00742FF5" w:rsidRDefault="00742FF5" w:rsidP="00742FF5">
      <w:pPr>
        <w:pStyle w:val="NormalnyWeb"/>
        <w:spacing w:before="0" w:after="0" w:line="240" w:lineRule="auto"/>
        <w:ind w:firstLine="708"/>
        <w:rPr>
          <w:rFonts w:cs="Times New Roman"/>
          <w:color w:val="484848"/>
        </w:rPr>
      </w:pPr>
      <w:r>
        <w:rPr>
          <w:rFonts w:cs="Times New Roman"/>
          <w:color w:val="484848"/>
        </w:rPr>
        <w:t xml:space="preserve">W </w:t>
      </w:r>
      <w:r w:rsidRPr="00742FF5">
        <w:rPr>
          <w:rFonts w:cs="Times New Roman"/>
          <w:color w:val="484848"/>
        </w:rPr>
        <w:t xml:space="preserve">niniejszej sprawie zostały wykazane przez </w:t>
      </w:r>
      <w:r>
        <w:rPr>
          <w:rFonts w:cs="Times New Roman"/>
          <w:color w:val="484848"/>
        </w:rPr>
        <w:t xml:space="preserve">powodów </w:t>
      </w:r>
      <w:r w:rsidRPr="00742FF5">
        <w:rPr>
          <w:rFonts w:cs="Times New Roman"/>
          <w:color w:val="484848"/>
        </w:rPr>
        <w:t xml:space="preserve">przesłanki niezbędne do wydania postanowienia o udzieleniu zabezpieczenia, </w:t>
      </w:r>
      <w:r>
        <w:rPr>
          <w:rFonts w:cs="Times New Roman"/>
          <w:color w:val="484848"/>
        </w:rPr>
        <w:t xml:space="preserve">bowiem </w:t>
      </w:r>
      <w:r w:rsidRPr="00742FF5">
        <w:rPr>
          <w:rStyle w:val="underline"/>
          <w:rFonts w:cs="Times New Roman"/>
          <w:color w:val="484848"/>
        </w:rPr>
        <w:t>uprawdopodobni</w:t>
      </w:r>
      <w:r>
        <w:rPr>
          <w:rStyle w:val="underline"/>
          <w:rFonts w:cs="Times New Roman"/>
          <w:color w:val="484848"/>
        </w:rPr>
        <w:t>li</w:t>
      </w:r>
      <w:r w:rsidRPr="00742FF5">
        <w:rPr>
          <w:rFonts w:cs="Times New Roman"/>
          <w:color w:val="484848"/>
        </w:rPr>
        <w:t xml:space="preserve"> potrzebę </w:t>
      </w:r>
      <w:r>
        <w:rPr>
          <w:rFonts w:cs="Times New Roman"/>
          <w:color w:val="484848"/>
        </w:rPr>
        <w:t xml:space="preserve">wstrzymania wykonywania umowy w zakresie rat kapitałowo – odsetkowych </w:t>
      </w:r>
      <w:r w:rsidRPr="00742FF5">
        <w:rPr>
          <w:rFonts w:cs="Times New Roman"/>
          <w:color w:val="484848"/>
        </w:rPr>
        <w:t xml:space="preserve">oraz </w:t>
      </w:r>
      <w:r w:rsidRPr="00742FF5">
        <w:rPr>
          <w:rStyle w:val="underline"/>
          <w:rFonts w:cs="Times New Roman"/>
          <w:color w:val="484848"/>
        </w:rPr>
        <w:t>wykaza</w:t>
      </w:r>
      <w:r>
        <w:rPr>
          <w:rStyle w:val="underline"/>
          <w:rFonts w:cs="Times New Roman"/>
          <w:color w:val="484848"/>
        </w:rPr>
        <w:t>li</w:t>
      </w:r>
      <w:r w:rsidRPr="00742FF5">
        <w:rPr>
          <w:rStyle w:val="underline"/>
          <w:rFonts w:cs="Times New Roman"/>
          <w:color w:val="484848"/>
        </w:rPr>
        <w:t xml:space="preserve"> interes prawn</w:t>
      </w:r>
      <w:r>
        <w:rPr>
          <w:rStyle w:val="underline"/>
          <w:rFonts w:cs="Times New Roman"/>
          <w:color w:val="484848"/>
        </w:rPr>
        <w:t>y</w:t>
      </w:r>
      <w:r w:rsidRPr="00742FF5">
        <w:rPr>
          <w:rFonts w:cs="Times New Roman"/>
          <w:color w:val="484848"/>
        </w:rPr>
        <w:t xml:space="preserve"> w udzieleniu zabezpieczenia.</w:t>
      </w:r>
    </w:p>
    <w:p w14:paraId="7409A714" w14:textId="77777777" w:rsidR="00742FF5" w:rsidRPr="00742FF5" w:rsidRDefault="00742FF5" w:rsidP="00742FF5">
      <w:pPr>
        <w:pStyle w:val="NormalnyWeb"/>
        <w:spacing w:before="0" w:after="0" w:line="240" w:lineRule="auto"/>
        <w:ind w:firstLine="708"/>
        <w:rPr>
          <w:rFonts w:cs="Times New Roman"/>
          <w:color w:val="484848"/>
        </w:rPr>
      </w:pPr>
      <w:r w:rsidRPr="00742FF5">
        <w:rPr>
          <w:rFonts w:cs="Times New Roman"/>
          <w:color w:val="484848"/>
        </w:rPr>
        <w:t xml:space="preserve">Zauważyć przede wszystkim należy, że postępowanie zabezpieczające stanowi przyspieszone, odformalizowane postępowanie, w ramach którego wymagane jest nie udowodnienie, lecz </w:t>
      </w:r>
      <w:r w:rsidRPr="00742FF5">
        <w:rPr>
          <w:rFonts w:cs="Times New Roman"/>
          <w:color w:val="484848"/>
        </w:rPr>
        <w:lastRenderedPageBreak/>
        <w:t xml:space="preserve">uprawdopodobnienie istnienia roszczenia podlegającego zabezpieczeniu i interesu prawnego w udzieleniu zabezpieczenia, a zatem zgodnie z </w:t>
      </w:r>
      <w:hyperlink r:id="rId12" w:tooltip="Ustawa z dnia 17 listopada 1964 r. - Kodeks postępowania cywilnego - Dz. U. z 1964 r. Nr 43, poz. 296 (art. 243)" w:history="1">
        <w:r w:rsidRPr="00742FF5">
          <w:rPr>
            <w:rStyle w:val="Hipercze"/>
            <w:rFonts w:cs="Times New Roman"/>
            <w:color w:val="484848"/>
          </w:rPr>
          <w:t>art. 243 k.p.c.</w:t>
        </w:r>
      </w:hyperlink>
      <w:r w:rsidRPr="00742FF5">
        <w:rPr>
          <w:rFonts w:cs="Times New Roman"/>
          <w:color w:val="484848"/>
        </w:rPr>
        <w:t xml:space="preserve"> nie jest konieczne zachowanie szczegółowych przepisów o postępowaniu dowodowym. Odformalizowany charakter uprawdopodobnienia wymaganego na potrzeby udzielenia zabezpieczenia roszczenia rzutuje na sposób oceny materiału dowodowego zaoferowanego na etapie składania wniosku o udzielenie zabezpieczenia. W zakresie pierwszej z wymienionych przesłanek należy uprawdopodobnić, że w konkretnych okolicznościach faktycznych uprawnionemu przysługuje roszczenie podlegające ochronie w świetle obowiązujących przepisów prawa. Uprawdopodobnienie roszczenia może nastąpić w każdy możliwy sposób, ma ono dać sądowi słuszną podstawę do przypuszczenia o istnieniu roszczenia, na podstawie kryterium wiarygodności roszczenia. Uprawniony powinien przedstawić i uzasadnić twierdzenia stanowiące podstawę dochodzonego roszczenia.</w:t>
      </w:r>
    </w:p>
    <w:p w14:paraId="5C7612C0" w14:textId="77777777" w:rsidR="00742FF5" w:rsidRPr="00542C9D" w:rsidRDefault="00742FF5" w:rsidP="00742FF5">
      <w:pPr>
        <w:suppressAutoHyphens w:val="0"/>
        <w:spacing w:after="150"/>
        <w:ind w:firstLine="708"/>
        <w:jc w:val="both"/>
        <w:rPr>
          <w:rFonts w:cs="Times New Roman"/>
          <w:color w:val="3A3A3A"/>
          <w:sz w:val="20"/>
          <w:szCs w:val="20"/>
          <w:lang w:eastAsia="pl-PL"/>
        </w:rPr>
      </w:pPr>
    </w:p>
    <w:p w14:paraId="5111F5E0" w14:textId="77777777" w:rsidR="009E2D7C" w:rsidRPr="00742FF5" w:rsidRDefault="009E2D7C" w:rsidP="009E2D7C">
      <w:pPr>
        <w:pStyle w:val="Tekstpodstawowy"/>
        <w:spacing w:after="0"/>
        <w:jc w:val="both"/>
        <w:rPr>
          <w:rFonts w:cs="Times New Roman"/>
          <w:sz w:val="20"/>
          <w:szCs w:val="20"/>
          <w:lang w:val="cs-CZ"/>
        </w:rPr>
      </w:pPr>
      <w:r w:rsidRPr="00742FF5">
        <w:rPr>
          <w:rFonts w:cs="Times New Roman"/>
          <w:sz w:val="20"/>
          <w:szCs w:val="20"/>
          <w:lang w:val="cs-CZ"/>
        </w:rPr>
        <w:t>Załączniki:</w:t>
      </w:r>
    </w:p>
    <w:p w14:paraId="2B2BFCC9" w14:textId="46AD1E02" w:rsidR="00742FF5" w:rsidRPr="00742FF5" w:rsidRDefault="00742FF5" w:rsidP="00C44CA2">
      <w:pPr>
        <w:pStyle w:val="Tekstpodstawowy"/>
        <w:numPr>
          <w:ilvl w:val="0"/>
          <w:numId w:val="19"/>
        </w:numPr>
        <w:spacing w:after="0"/>
        <w:jc w:val="both"/>
        <w:rPr>
          <w:sz w:val="20"/>
          <w:szCs w:val="20"/>
          <w:lang w:val="cs-CZ"/>
        </w:rPr>
      </w:pPr>
      <w:r w:rsidRPr="00742FF5">
        <w:rPr>
          <w:sz w:val="20"/>
          <w:szCs w:val="20"/>
          <w:lang w:val="cs-CZ"/>
        </w:rPr>
        <w:t xml:space="preserve">dowód przelewu opłaty sądowej w kwocie 100,- złotych; </w:t>
      </w:r>
    </w:p>
    <w:p w14:paraId="6A7D1D38" w14:textId="35CC64E5" w:rsidR="00742FF5" w:rsidRPr="00742FF5" w:rsidRDefault="00742FF5" w:rsidP="00C44CA2">
      <w:pPr>
        <w:pStyle w:val="Tekstpodstawowy"/>
        <w:numPr>
          <w:ilvl w:val="0"/>
          <w:numId w:val="19"/>
        </w:numPr>
        <w:spacing w:after="0"/>
        <w:jc w:val="both"/>
        <w:rPr>
          <w:sz w:val="20"/>
          <w:szCs w:val="20"/>
          <w:lang w:val="cs-CZ"/>
        </w:rPr>
      </w:pPr>
      <w:r w:rsidRPr="00742FF5">
        <w:rPr>
          <w:rFonts w:cs="Times New Roman"/>
          <w:sz w:val="20"/>
          <w:szCs w:val="20"/>
        </w:rPr>
        <w:t xml:space="preserve">pismo powodów z dnia </w:t>
      </w:r>
      <w:r w:rsidR="002647FC">
        <w:rPr>
          <w:rFonts w:cs="Times New Roman"/>
          <w:sz w:val="20"/>
          <w:szCs w:val="20"/>
        </w:rPr>
        <w:t xml:space="preserve">………….. </w:t>
      </w:r>
      <w:r w:rsidRPr="00742FF5">
        <w:rPr>
          <w:rFonts w:cs="Times New Roman"/>
          <w:sz w:val="20"/>
          <w:szCs w:val="20"/>
        </w:rPr>
        <w:t xml:space="preserve">r. do banku, </w:t>
      </w:r>
    </w:p>
    <w:p w14:paraId="7A931052" w14:textId="47956CA3" w:rsidR="00742FF5" w:rsidRPr="00742FF5" w:rsidRDefault="00742FF5" w:rsidP="00C44CA2">
      <w:pPr>
        <w:pStyle w:val="Tekstpodstawowy"/>
        <w:numPr>
          <w:ilvl w:val="0"/>
          <w:numId w:val="19"/>
        </w:numPr>
        <w:spacing w:after="0"/>
        <w:jc w:val="both"/>
        <w:rPr>
          <w:sz w:val="20"/>
          <w:szCs w:val="20"/>
          <w:lang w:val="cs-CZ"/>
        </w:rPr>
      </w:pPr>
      <w:r w:rsidRPr="00742FF5">
        <w:rPr>
          <w:rFonts w:cs="Times New Roman"/>
          <w:sz w:val="20"/>
          <w:szCs w:val="20"/>
        </w:rPr>
        <w:t xml:space="preserve">odpowiedź banku z dnia </w:t>
      </w:r>
      <w:r w:rsidR="002647FC">
        <w:rPr>
          <w:rFonts w:cs="Times New Roman"/>
          <w:sz w:val="20"/>
          <w:szCs w:val="20"/>
        </w:rPr>
        <w:t>………….</w:t>
      </w:r>
      <w:r w:rsidRPr="00742FF5">
        <w:rPr>
          <w:rFonts w:cs="Times New Roman"/>
          <w:sz w:val="20"/>
          <w:szCs w:val="20"/>
        </w:rPr>
        <w:t xml:space="preserve"> r.; </w:t>
      </w:r>
    </w:p>
    <w:p w14:paraId="693F4DF7" w14:textId="682E0018" w:rsidR="00742FF5" w:rsidRPr="00742FF5" w:rsidRDefault="00742FF5" w:rsidP="00C44CA2">
      <w:pPr>
        <w:pStyle w:val="Tekstpodstawowy"/>
        <w:numPr>
          <w:ilvl w:val="0"/>
          <w:numId w:val="19"/>
        </w:numPr>
        <w:spacing w:after="0"/>
        <w:jc w:val="both"/>
        <w:rPr>
          <w:sz w:val="20"/>
          <w:szCs w:val="20"/>
          <w:lang w:val="cs-CZ"/>
        </w:rPr>
      </w:pPr>
      <w:r w:rsidRPr="00742FF5">
        <w:rPr>
          <w:rFonts w:cs="Times New Roman"/>
          <w:sz w:val="20"/>
          <w:szCs w:val="20"/>
        </w:rPr>
        <w:t xml:space="preserve">zaświadczenie banku z dnia </w:t>
      </w:r>
      <w:r w:rsidR="002647FC">
        <w:rPr>
          <w:rFonts w:cs="Times New Roman"/>
          <w:sz w:val="20"/>
          <w:szCs w:val="20"/>
        </w:rPr>
        <w:t>…………….</w:t>
      </w:r>
      <w:r w:rsidRPr="00742FF5">
        <w:rPr>
          <w:rFonts w:cs="Times New Roman"/>
          <w:sz w:val="20"/>
          <w:szCs w:val="20"/>
        </w:rPr>
        <w:t xml:space="preserve"> roku; </w:t>
      </w:r>
    </w:p>
    <w:p w14:paraId="53E8D89A" w14:textId="6236D272" w:rsidR="00C44CA2" w:rsidRPr="00742FF5" w:rsidRDefault="00742FF5" w:rsidP="00C44CA2">
      <w:pPr>
        <w:pStyle w:val="Tekstpodstawowy"/>
        <w:numPr>
          <w:ilvl w:val="0"/>
          <w:numId w:val="19"/>
        </w:numPr>
        <w:spacing w:after="0"/>
        <w:jc w:val="both"/>
        <w:rPr>
          <w:sz w:val="20"/>
          <w:szCs w:val="20"/>
          <w:lang w:val="cs-CZ"/>
        </w:rPr>
      </w:pPr>
      <w:r w:rsidRPr="00742FF5">
        <w:rPr>
          <w:sz w:val="20"/>
          <w:szCs w:val="20"/>
          <w:lang w:val="cs-CZ"/>
        </w:rPr>
        <w:t xml:space="preserve">dwa </w:t>
      </w:r>
      <w:r w:rsidR="00C44CA2" w:rsidRPr="00742FF5">
        <w:rPr>
          <w:sz w:val="20"/>
          <w:szCs w:val="20"/>
          <w:lang w:val="cs-CZ"/>
        </w:rPr>
        <w:t>odpis</w:t>
      </w:r>
      <w:r w:rsidRPr="00742FF5">
        <w:rPr>
          <w:sz w:val="20"/>
          <w:szCs w:val="20"/>
          <w:lang w:val="cs-CZ"/>
        </w:rPr>
        <w:t>y</w:t>
      </w:r>
      <w:r w:rsidR="00C44CA2" w:rsidRPr="00742FF5">
        <w:rPr>
          <w:sz w:val="20"/>
          <w:szCs w:val="20"/>
          <w:lang w:val="cs-CZ"/>
        </w:rPr>
        <w:t xml:space="preserve"> wniosku z załącznikami.</w:t>
      </w:r>
    </w:p>
    <w:p w14:paraId="26CA76DF" w14:textId="77777777" w:rsidR="00F879EA" w:rsidRPr="00742FF5" w:rsidRDefault="00F879EA" w:rsidP="00400226">
      <w:pPr>
        <w:pStyle w:val="Tekstpodstawowy"/>
        <w:spacing w:after="0"/>
        <w:jc w:val="both"/>
        <w:rPr>
          <w:sz w:val="20"/>
          <w:szCs w:val="20"/>
          <w:lang w:val="cs-CZ"/>
        </w:rPr>
      </w:pPr>
    </w:p>
    <w:sectPr w:rsidR="00F879EA" w:rsidRPr="00742FF5" w:rsidSect="00CB3287">
      <w:headerReference w:type="default" r:id="rId13"/>
      <w:footerReference w:type="default" r:id="rId14"/>
      <w:pgSz w:w="11906" w:h="16838"/>
      <w:pgMar w:top="1440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D62D5" w14:textId="77777777" w:rsidR="00327B6E" w:rsidRDefault="00327B6E">
      <w:r>
        <w:separator/>
      </w:r>
    </w:p>
  </w:endnote>
  <w:endnote w:type="continuationSeparator" w:id="0">
    <w:p w14:paraId="5BAFFA40" w14:textId="77777777" w:rsidR="00327B6E" w:rsidRDefault="0032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910E6" w14:textId="77777777" w:rsidR="00284C41" w:rsidRDefault="00284C41">
    <w:pPr>
      <w:pStyle w:val="Stopka"/>
      <w:tabs>
        <w:tab w:val="left" w:pos="2925"/>
      </w:tabs>
      <w:jc w:val="center"/>
      <w:rPr>
        <w:sz w:val="20"/>
        <w:szCs w:val="20"/>
      </w:rPr>
    </w:pPr>
  </w:p>
  <w:p w14:paraId="0AA9ED06" w14:textId="77777777" w:rsidR="00284C41" w:rsidRDefault="00284C41">
    <w:pPr>
      <w:pStyle w:val="Stopka"/>
      <w:tabs>
        <w:tab w:val="left" w:pos="2925"/>
      </w:tabs>
      <w:jc w:val="center"/>
    </w:pPr>
    <w:r>
      <w:rPr>
        <w:sz w:val="20"/>
        <w:szCs w:val="20"/>
      </w:rPr>
      <w:t xml:space="preserve">Strona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</w:instrText>
    </w:r>
    <w:r>
      <w:rPr>
        <w:b/>
        <w:sz w:val="20"/>
        <w:szCs w:val="20"/>
      </w:rPr>
      <w:fldChar w:fldCharType="separate"/>
    </w:r>
    <w:r w:rsidR="00051E57"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NUMPAGES \*Arabic </w:instrText>
    </w:r>
    <w:r>
      <w:rPr>
        <w:b/>
        <w:sz w:val="20"/>
        <w:szCs w:val="20"/>
      </w:rPr>
      <w:fldChar w:fldCharType="separate"/>
    </w:r>
    <w:r w:rsidR="00051E57">
      <w:rPr>
        <w:b/>
        <w:noProof/>
        <w:sz w:val="20"/>
        <w:szCs w:val="20"/>
      </w:rPr>
      <w:t>4</w:t>
    </w:r>
    <w:r>
      <w:rPr>
        <w:b/>
        <w:sz w:val="20"/>
        <w:szCs w:val="20"/>
      </w:rPr>
      <w:fldChar w:fldCharType="end"/>
    </w:r>
  </w:p>
  <w:p w14:paraId="33F6ABC3" w14:textId="77777777" w:rsidR="00284C41" w:rsidRDefault="00284C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F0435" w14:textId="77777777" w:rsidR="00327B6E" w:rsidRDefault="00327B6E">
      <w:r>
        <w:separator/>
      </w:r>
    </w:p>
  </w:footnote>
  <w:footnote w:type="continuationSeparator" w:id="0">
    <w:p w14:paraId="7848AEC1" w14:textId="77777777" w:rsidR="00327B6E" w:rsidRDefault="00327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75395" w14:textId="77777777" w:rsidR="00284C41" w:rsidRDefault="00284C41">
    <w:pPr>
      <w:pStyle w:val="Nagwek"/>
      <w:jc w:val="center"/>
      <w:rPr>
        <w:rFonts w:ascii="Baskerville Old Face" w:hAnsi="Baskerville Old Face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Akapitzlist1"/>
      <w:lvlText w:val="%1."/>
      <w:lvlJc w:val="left"/>
      <w:pPr>
        <w:tabs>
          <w:tab w:val="num" w:pos="1428"/>
        </w:tabs>
        <w:ind w:left="1428" w:hanging="36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73DEA4D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6" w15:restartNumberingAfterBreak="0">
    <w:nsid w:val="0D7B4960"/>
    <w:multiLevelType w:val="hybridMultilevel"/>
    <w:tmpl w:val="AD30A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72171"/>
    <w:multiLevelType w:val="hybridMultilevel"/>
    <w:tmpl w:val="3D52D3FC"/>
    <w:lvl w:ilvl="0" w:tplc="EBC22478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8540AF"/>
    <w:multiLevelType w:val="hybridMultilevel"/>
    <w:tmpl w:val="48A8CBF2"/>
    <w:lvl w:ilvl="0" w:tplc="0B4CDBB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70DE5"/>
    <w:multiLevelType w:val="hybridMultilevel"/>
    <w:tmpl w:val="2BA0F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E44DD"/>
    <w:multiLevelType w:val="hybridMultilevel"/>
    <w:tmpl w:val="E63871FE"/>
    <w:lvl w:ilvl="0" w:tplc="A3CEB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74991"/>
    <w:multiLevelType w:val="hybridMultilevel"/>
    <w:tmpl w:val="A7DE957C"/>
    <w:lvl w:ilvl="0" w:tplc="24CC165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B56C91"/>
    <w:multiLevelType w:val="hybridMultilevel"/>
    <w:tmpl w:val="7FC899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9681BBD"/>
    <w:multiLevelType w:val="hybridMultilevel"/>
    <w:tmpl w:val="37342C1A"/>
    <w:lvl w:ilvl="0" w:tplc="0E2401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F88085E"/>
    <w:multiLevelType w:val="hybridMultilevel"/>
    <w:tmpl w:val="76A8953A"/>
    <w:lvl w:ilvl="0" w:tplc="DFB0E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AD5254"/>
    <w:multiLevelType w:val="hybridMultilevel"/>
    <w:tmpl w:val="6D8C2928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 w15:restartNumberingAfterBreak="0">
    <w:nsid w:val="55E90172"/>
    <w:multiLevelType w:val="hybridMultilevel"/>
    <w:tmpl w:val="652EEE74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5D1E1B33"/>
    <w:multiLevelType w:val="hybridMultilevel"/>
    <w:tmpl w:val="0B46D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95077"/>
    <w:multiLevelType w:val="hybridMultilevel"/>
    <w:tmpl w:val="94002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8220E"/>
    <w:multiLevelType w:val="hybridMultilevel"/>
    <w:tmpl w:val="58DC5D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B14DC3"/>
    <w:multiLevelType w:val="hybridMultilevel"/>
    <w:tmpl w:val="DE504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14"/>
  </w:num>
  <w:num w:numId="9">
    <w:abstractNumId w:val="20"/>
  </w:num>
  <w:num w:numId="10">
    <w:abstractNumId w:val="11"/>
  </w:num>
  <w:num w:numId="11">
    <w:abstractNumId w:val="9"/>
  </w:num>
  <w:num w:numId="12">
    <w:abstractNumId w:val="19"/>
  </w:num>
  <w:num w:numId="13">
    <w:abstractNumId w:val="15"/>
  </w:num>
  <w:num w:numId="14">
    <w:abstractNumId w:val="10"/>
  </w:num>
  <w:num w:numId="15">
    <w:abstractNumId w:val="18"/>
  </w:num>
  <w:num w:numId="16">
    <w:abstractNumId w:val="12"/>
  </w:num>
  <w:num w:numId="17">
    <w:abstractNumId w:val="16"/>
  </w:num>
  <w:num w:numId="18">
    <w:abstractNumId w:val="13"/>
  </w:num>
  <w:num w:numId="19">
    <w:abstractNumId w:val="6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74"/>
    <w:rsid w:val="0000664A"/>
    <w:rsid w:val="00007636"/>
    <w:rsid w:val="0000789B"/>
    <w:rsid w:val="00012AD1"/>
    <w:rsid w:val="00015EE2"/>
    <w:rsid w:val="00033B17"/>
    <w:rsid w:val="00041D02"/>
    <w:rsid w:val="000513E1"/>
    <w:rsid w:val="00051E57"/>
    <w:rsid w:val="0005668E"/>
    <w:rsid w:val="00064770"/>
    <w:rsid w:val="00066445"/>
    <w:rsid w:val="00070640"/>
    <w:rsid w:val="00085AE3"/>
    <w:rsid w:val="000A14F6"/>
    <w:rsid w:val="000A22F7"/>
    <w:rsid w:val="000B11ED"/>
    <w:rsid w:val="000B7D33"/>
    <w:rsid w:val="000C15DC"/>
    <w:rsid w:val="000E13BF"/>
    <w:rsid w:val="000E624D"/>
    <w:rsid w:val="000F1931"/>
    <w:rsid w:val="000F1AE1"/>
    <w:rsid w:val="000F21A8"/>
    <w:rsid w:val="000F2AF3"/>
    <w:rsid w:val="001005E5"/>
    <w:rsid w:val="00105D06"/>
    <w:rsid w:val="001163C8"/>
    <w:rsid w:val="001165A5"/>
    <w:rsid w:val="001242AF"/>
    <w:rsid w:val="00127294"/>
    <w:rsid w:val="001352B3"/>
    <w:rsid w:val="00147A52"/>
    <w:rsid w:val="001551EE"/>
    <w:rsid w:val="0017210C"/>
    <w:rsid w:val="00173B73"/>
    <w:rsid w:val="0018133A"/>
    <w:rsid w:val="00185BF9"/>
    <w:rsid w:val="00187727"/>
    <w:rsid w:val="001A7012"/>
    <w:rsid w:val="001D16E8"/>
    <w:rsid w:val="001D5383"/>
    <w:rsid w:val="001E3149"/>
    <w:rsid w:val="001F4BC4"/>
    <w:rsid w:val="001F7A6E"/>
    <w:rsid w:val="00213C33"/>
    <w:rsid w:val="00216BD3"/>
    <w:rsid w:val="002200C4"/>
    <w:rsid w:val="002326F7"/>
    <w:rsid w:val="00242994"/>
    <w:rsid w:val="0024684B"/>
    <w:rsid w:val="0025085D"/>
    <w:rsid w:val="002525BE"/>
    <w:rsid w:val="00261376"/>
    <w:rsid w:val="002647FC"/>
    <w:rsid w:val="00272274"/>
    <w:rsid w:val="002762C0"/>
    <w:rsid w:val="00277E1B"/>
    <w:rsid w:val="00284C41"/>
    <w:rsid w:val="002924E5"/>
    <w:rsid w:val="002C068E"/>
    <w:rsid w:val="002C5462"/>
    <w:rsid w:val="002C5664"/>
    <w:rsid w:val="002C6701"/>
    <w:rsid w:val="002D3B20"/>
    <w:rsid w:val="002D5AB3"/>
    <w:rsid w:val="002E179C"/>
    <w:rsid w:val="002E6EBC"/>
    <w:rsid w:val="003012C5"/>
    <w:rsid w:val="00304ED5"/>
    <w:rsid w:val="00307091"/>
    <w:rsid w:val="0031037A"/>
    <w:rsid w:val="003125E8"/>
    <w:rsid w:val="00316605"/>
    <w:rsid w:val="00325834"/>
    <w:rsid w:val="00327B6E"/>
    <w:rsid w:val="00330DF6"/>
    <w:rsid w:val="00331842"/>
    <w:rsid w:val="003374BA"/>
    <w:rsid w:val="00341D3C"/>
    <w:rsid w:val="00367F84"/>
    <w:rsid w:val="00374D9F"/>
    <w:rsid w:val="0038645B"/>
    <w:rsid w:val="00394FBC"/>
    <w:rsid w:val="003A52A1"/>
    <w:rsid w:val="003A6A80"/>
    <w:rsid w:val="003A72EF"/>
    <w:rsid w:val="003D7008"/>
    <w:rsid w:val="00400226"/>
    <w:rsid w:val="00401DBF"/>
    <w:rsid w:val="00407C2F"/>
    <w:rsid w:val="004218D6"/>
    <w:rsid w:val="00422334"/>
    <w:rsid w:val="00436589"/>
    <w:rsid w:val="00451E97"/>
    <w:rsid w:val="0045463C"/>
    <w:rsid w:val="004637C4"/>
    <w:rsid w:val="00481836"/>
    <w:rsid w:val="00493058"/>
    <w:rsid w:val="004A0BAC"/>
    <w:rsid w:val="004A446F"/>
    <w:rsid w:val="004A4965"/>
    <w:rsid w:val="004A5DA0"/>
    <w:rsid w:val="004C0ED7"/>
    <w:rsid w:val="004E278B"/>
    <w:rsid w:val="004E38B6"/>
    <w:rsid w:val="004F0072"/>
    <w:rsid w:val="004F1ACA"/>
    <w:rsid w:val="004F7BE9"/>
    <w:rsid w:val="005049B6"/>
    <w:rsid w:val="00505F1A"/>
    <w:rsid w:val="00510D47"/>
    <w:rsid w:val="00512264"/>
    <w:rsid w:val="005127E9"/>
    <w:rsid w:val="00512A6A"/>
    <w:rsid w:val="00520F76"/>
    <w:rsid w:val="005224E4"/>
    <w:rsid w:val="00534E93"/>
    <w:rsid w:val="00537C05"/>
    <w:rsid w:val="005419D4"/>
    <w:rsid w:val="00542C9D"/>
    <w:rsid w:val="00543A7D"/>
    <w:rsid w:val="00546399"/>
    <w:rsid w:val="00550FAC"/>
    <w:rsid w:val="00552FDA"/>
    <w:rsid w:val="00563B7F"/>
    <w:rsid w:val="00572FCD"/>
    <w:rsid w:val="005A61E1"/>
    <w:rsid w:val="005B491A"/>
    <w:rsid w:val="005C05D9"/>
    <w:rsid w:val="005C4730"/>
    <w:rsid w:val="005E6125"/>
    <w:rsid w:val="0060218E"/>
    <w:rsid w:val="006029AB"/>
    <w:rsid w:val="00602C6E"/>
    <w:rsid w:val="00624A6D"/>
    <w:rsid w:val="00634709"/>
    <w:rsid w:val="006877B4"/>
    <w:rsid w:val="006B7DAE"/>
    <w:rsid w:val="006C57D6"/>
    <w:rsid w:val="007035F4"/>
    <w:rsid w:val="00706A76"/>
    <w:rsid w:val="00714C6B"/>
    <w:rsid w:val="00714CEA"/>
    <w:rsid w:val="00715FFA"/>
    <w:rsid w:val="00724246"/>
    <w:rsid w:val="007355E0"/>
    <w:rsid w:val="00736A14"/>
    <w:rsid w:val="0073794A"/>
    <w:rsid w:val="00742FF5"/>
    <w:rsid w:val="00746215"/>
    <w:rsid w:val="00746BE7"/>
    <w:rsid w:val="007530C0"/>
    <w:rsid w:val="00755F3A"/>
    <w:rsid w:val="00764A9D"/>
    <w:rsid w:val="00781537"/>
    <w:rsid w:val="00790F52"/>
    <w:rsid w:val="007A195F"/>
    <w:rsid w:val="007B0E69"/>
    <w:rsid w:val="007B6DD5"/>
    <w:rsid w:val="007D02C4"/>
    <w:rsid w:val="007E1591"/>
    <w:rsid w:val="007E3C76"/>
    <w:rsid w:val="007E7F75"/>
    <w:rsid w:val="007F16BF"/>
    <w:rsid w:val="007F3B8E"/>
    <w:rsid w:val="00807978"/>
    <w:rsid w:val="008126B8"/>
    <w:rsid w:val="008148CC"/>
    <w:rsid w:val="008158F9"/>
    <w:rsid w:val="008350A4"/>
    <w:rsid w:val="00836722"/>
    <w:rsid w:val="00856345"/>
    <w:rsid w:val="00866F09"/>
    <w:rsid w:val="0087370D"/>
    <w:rsid w:val="00873EF8"/>
    <w:rsid w:val="00876C9D"/>
    <w:rsid w:val="00891E2F"/>
    <w:rsid w:val="00896E1D"/>
    <w:rsid w:val="008A1BCA"/>
    <w:rsid w:val="008A266E"/>
    <w:rsid w:val="008A2B90"/>
    <w:rsid w:val="008A64A4"/>
    <w:rsid w:val="008B0DAA"/>
    <w:rsid w:val="008B0FA7"/>
    <w:rsid w:val="008C24AE"/>
    <w:rsid w:val="008C2982"/>
    <w:rsid w:val="008C755E"/>
    <w:rsid w:val="008D1058"/>
    <w:rsid w:val="008D663C"/>
    <w:rsid w:val="008F31FF"/>
    <w:rsid w:val="00906907"/>
    <w:rsid w:val="00907242"/>
    <w:rsid w:val="0091172E"/>
    <w:rsid w:val="00912FBE"/>
    <w:rsid w:val="009144EA"/>
    <w:rsid w:val="00927A79"/>
    <w:rsid w:val="00931987"/>
    <w:rsid w:val="00931B1A"/>
    <w:rsid w:val="00933F98"/>
    <w:rsid w:val="009519D5"/>
    <w:rsid w:val="00952701"/>
    <w:rsid w:val="00954EE4"/>
    <w:rsid w:val="00955C97"/>
    <w:rsid w:val="0097667B"/>
    <w:rsid w:val="009809F1"/>
    <w:rsid w:val="009967DD"/>
    <w:rsid w:val="009A73FD"/>
    <w:rsid w:val="009B2029"/>
    <w:rsid w:val="009C7956"/>
    <w:rsid w:val="009D1C57"/>
    <w:rsid w:val="009E0A8D"/>
    <w:rsid w:val="009E146C"/>
    <w:rsid w:val="009E2D7C"/>
    <w:rsid w:val="009E776A"/>
    <w:rsid w:val="009F56BB"/>
    <w:rsid w:val="009F5998"/>
    <w:rsid w:val="00A1361E"/>
    <w:rsid w:val="00A1563B"/>
    <w:rsid w:val="00A258D7"/>
    <w:rsid w:val="00A27DEC"/>
    <w:rsid w:val="00A30615"/>
    <w:rsid w:val="00A36CB3"/>
    <w:rsid w:val="00A37332"/>
    <w:rsid w:val="00A55275"/>
    <w:rsid w:val="00A63F26"/>
    <w:rsid w:val="00A71906"/>
    <w:rsid w:val="00A75FCB"/>
    <w:rsid w:val="00A8119E"/>
    <w:rsid w:val="00A835B1"/>
    <w:rsid w:val="00A93A76"/>
    <w:rsid w:val="00AA0B5F"/>
    <w:rsid w:val="00AA0D93"/>
    <w:rsid w:val="00AA2ED3"/>
    <w:rsid w:val="00AA68CD"/>
    <w:rsid w:val="00AB6C07"/>
    <w:rsid w:val="00AC243B"/>
    <w:rsid w:val="00AC5DC3"/>
    <w:rsid w:val="00AE3371"/>
    <w:rsid w:val="00B014E2"/>
    <w:rsid w:val="00B055D9"/>
    <w:rsid w:val="00B05B2C"/>
    <w:rsid w:val="00B15C73"/>
    <w:rsid w:val="00B26385"/>
    <w:rsid w:val="00B30107"/>
    <w:rsid w:val="00B52017"/>
    <w:rsid w:val="00B62337"/>
    <w:rsid w:val="00B83D07"/>
    <w:rsid w:val="00BA59EB"/>
    <w:rsid w:val="00BB1239"/>
    <w:rsid w:val="00BB71F8"/>
    <w:rsid w:val="00BC0B68"/>
    <w:rsid w:val="00BD00F8"/>
    <w:rsid w:val="00BD3A0E"/>
    <w:rsid w:val="00BE1F05"/>
    <w:rsid w:val="00BF08FE"/>
    <w:rsid w:val="00C04D74"/>
    <w:rsid w:val="00C10B52"/>
    <w:rsid w:val="00C138B5"/>
    <w:rsid w:val="00C1572B"/>
    <w:rsid w:val="00C16C9A"/>
    <w:rsid w:val="00C27B33"/>
    <w:rsid w:val="00C345F5"/>
    <w:rsid w:val="00C3533E"/>
    <w:rsid w:val="00C43590"/>
    <w:rsid w:val="00C44C2E"/>
    <w:rsid w:val="00C44CA2"/>
    <w:rsid w:val="00C5430D"/>
    <w:rsid w:val="00C60718"/>
    <w:rsid w:val="00C62DAB"/>
    <w:rsid w:val="00C635C9"/>
    <w:rsid w:val="00C71CB7"/>
    <w:rsid w:val="00C73DAD"/>
    <w:rsid w:val="00C80CCA"/>
    <w:rsid w:val="00C8438A"/>
    <w:rsid w:val="00C844F6"/>
    <w:rsid w:val="00C87177"/>
    <w:rsid w:val="00C87EE3"/>
    <w:rsid w:val="00C96958"/>
    <w:rsid w:val="00CB3287"/>
    <w:rsid w:val="00CC0356"/>
    <w:rsid w:val="00CC13F4"/>
    <w:rsid w:val="00CD09E0"/>
    <w:rsid w:val="00CD1733"/>
    <w:rsid w:val="00CD32E1"/>
    <w:rsid w:val="00CF1830"/>
    <w:rsid w:val="00CF4BA7"/>
    <w:rsid w:val="00D07056"/>
    <w:rsid w:val="00D07A5F"/>
    <w:rsid w:val="00D466CC"/>
    <w:rsid w:val="00D5185F"/>
    <w:rsid w:val="00D52F52"/>
    <w:rsid w:val="00D659C2"/>
    <w:rsid w:val="00D66406"/>
    <w:rsid w:val="00D75DC0"/>
    <w:rsid w:val="00D81A27"/>
    <w:rsid w:val="00D95051"/>
    <w:rsid w:val="00D97306"/>
    <w:rsid w:val="00DA4840"/>
    <w:rsid w:val="00DB46C4"/>
    <w:rsid w:val="00DB6FA0"/>
    <w:rsid w:val="00DC2CC7"/>
    <w:rsid w:val="00DC4708"/>
    <w:rsid w:val="00DD1199"/>
    <w:rsid w:val="00DF1546"/>
    <w:rsid w:val="00DF17E6"/>
    <w:rsid w:val="00DF223E"/>
    <w:rsid w:val="00DF2E85"/>
    <w:rsid w:val="00DF3FC8"/>
    <w:rsid w:val="00DF573D"/>
    <w:rsid w:val="00DF60A9"/>
    <w:rsid w:val="00E042DA"/>
    <w:rsid w:val="00E047A3"/>
    <w:rsid w:val="00E1237F"/>
    <w:rsid w:val="00E27C8B"/>
    <w:rsid w:val="00E75E74"/>
    <w:rsid w:val="00E77108"/>
    <w:rsid w:val="00E85517"/>
    <w:rsid w:val="00EA29F0"/>
    <w:rsid w:val="00EA47BB"/>
    <w:rsid w:val="00EC30CD"/>
    <w:rsid w:val="00ED5BCB"/>
    <w:rsid w:val="00EF2576"/>
    <w:rsid w:val="00EF4CF7"/>
    <w:rsid w:val="00EF6846"/>
    <w:rsid w:val="00F3211A"/>
    <w:rsid w:val="00F33C37"/>
    <w:rsid w:val="00F35781"/>
    <w:rsid w:val="00F44ED2"/>
    <w:rsid w:val="00F5475D"/>
    <w:rsid w:val="00F70337"/>
    <w:rsid w:val="00F76C92"/>
    <w:rsid w:val="00F76EF8"/>
    <w:rsid w:val="00F8794E"/>
    <w:rsid w:val="00F879EA"/>
    <w:rsid w:val="00F9615E"/>
    <w:rsid w:val="00FA49E4"/>
    <w:rsid w:val="00FB43EA"/>
    <w:rsid w:val="00FB57B0"/>
    <w:rsid w:val="00FB6BC5"/>
    <w:rsid w:val="00FD6F7F"/>
    <w:rsid w:val="00FD71BC"/>
    <w:rsid w:val="00FD7570"/>
    <w:rsid w:val="00FE60B7"/>
    <w:rsid w:val="00FF0908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D05BE8"/>
  <w15:chartTrackingRefBased/>
  <w15:docId w15:val="{140CCF2D-EE41-4149-8689-0D2EC65D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i/>
      <w:sz w:val="3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agwek6Znak">
    <w:name w:val="Nagłówek 6 Znak"/>
    <w:rPr>
      <w:rFonts w:ascii="Times New Roman" w:eastAsia="Times New Roman" w:hAnsi="Times New Roman"/>
      <w:b/>
      <w:i/>
      <w:sz w:val="36"/>
    </w:rPr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</w:rPr>
  </w:style>
  <w:style w:type="character" w:customStyle="1" w:styleId="Nagwek3Znak">
    <w:name w:val="Nagłówek 3 Znak"/>
    <w:rPr>
      <w:rFonts w:ascii="Cambria" w:eastAsia="SimSun" w:hAnsi="Cambria" w:cs="Times New Roman"/>
      <w:b/>
      <w:bCs/>
      <w:sz w:val="26"/>
      <w:szCs w:val="26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Pr>
      <w:rFonts w:ascii="Times New Roman" w:eastAsia="Times New Roman" w:hAnsi="Times New Roman"/>
      <w:sz w:val="24"/>
      <w:szCs w:val="24"/>
    </w:rPr>
  </w:style>
  <w:style w:type="character" w:customStyle="1" w:styleId="NagweknotatkiZnak">
    <w:name w:val="Nagłówek notatki Znak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Spacing1">
    <w:name w:val="No Spacing1"/>
    <w:pPr>
      <w:suppressAutoHyphens/>
    </w:pPr>
    <w:rPr>
      <w:rFonts w:eastAsia="Calibri" w:cs="Calibri"/>
      <w:sz w:val="24"/>
      <w:szCs w:val="22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/>
      <w:sz w:val="16"/>
      <w:szCs w:val="16"/>
      <w:lang w:val="x-none"/>
    </w:rPr>
  </w:style>
  <w:style w:type="paragraph" w:customStyle="1" w:styleId="ListParagraph1">
    <w:name w:val="List Paragraph1"/>
    <w:basedOn w:val="Normalny"/>
    <w:pPr>
      <w:ind w:left="708"/>
    </w:p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Normalny"/>
    <w:uiPriority w:val="99"/>
    <w:pPr>
      <w:autoSpaceDE w:val="0"/>
      <w:spacing w:before="280" w:after="280" w:line="276" w:lineRule="auto"/>
      <w:jc w:val="both"/>
    </w:pPr>
    <w:rPr>
      <w:color w:val="FF000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Akapitzlist1">
    <w:name w:val="Akapit z listą1"/>
    <w:basedOn w:val="Normalny"/>
    <w:pPr>
      <w:numPr>
        <w:numId w:val="3"/>
      </w:numPr>
      <w:spacing w:line="360" w:lineRule="auto"/>
      <w:jc w:val="both"/>
    </w:pPr>
    <w:rPr>
      <w:rFonts w:eastAsia="Calibri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31">
    <w:name w:val="Lista 31"/>
    <w:basedOn w:val="Normalny"/>
    <w:pPr>
      <w:ind w:left="849" w:hanging="283"/>
    </w:pPr>
  </w:style>
  <w:style w:type="paragraph" w:customStyle="1" w:styleId="Lista41">
    <w:name w:val="Lista 41"/>
    <w:basedOn w:val="Normalny"/>
    <w:pPr>
      <w:ind w:left="1132" w:hanging="283"/>
    </w:pPr>
  </w:style>
  <w:style w:type="paragraph" w:customStyle="1" w:styleId="Listapunktowana21">
    <w:name w:val="Lista punktowana 21"/>
    <w:basedOn w:val="Normalny"/>
    <w:pPr>
      <w:numPr>
        <w:numId w:val="2"/>
      </w:numPr>
    </w:pPr>
  </w:style>
  <w:style w:type="paragraph" w:customStyle="1" w:styleId="Legenda1">
    <w:name w:val="Legenda1"/>
    <w:basedOn w:val="Normalny"/>
    <w:next w:val="Normalny"/>
    <w:rPr>
      <w:b/>
      <w:bCs/>
      <w:sz w:val="20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zwciciem1">
    <w:name w:val="Tekst podstawowy z wcięciem1"/>
    <w:basedOn w:val="Tekstpodstawowy"/>
    <w:pPr>
      <w:ind w:firstLine="210"/>
    </w:pPr>
  </w:style>
  <w:style w:type="paragraph" w:customStyle="1" w:styleId="Tekstpodstawowyzwciciem21">
    <w:name w:val="Tekst podstawowy z wcięciem 21"/>
    <w:basedOn w:val="Tekstpodstawowywcity"/>
    <w:pPr>
      <w:ind w:firstLine="210"/>
    </w:pPr>
  </w:style>
  <w:style w:type="paragraph" w:customStyle="1" w:styleId="Nagweknotatki1">
    <w:name w:val="Nagłówek notatki1"/>
    <w:basedOn w:val="Normalny"/>
    <w:next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przypisukocowego">
    <w:name w:val="endnote reference"/>
    <w:uiPriority w:val="99"/>
    <w:semiHidden/>
    <w:unhideWhenUsed/>
    <w:rsid w:val="00DC4708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B52017"/>
    <w:rPr>
      <w:color w:val="605E5C"/>
      <w:shd w:val="clear" w:color="auto" w:fill="E1DFDD"/>
    </w:rPr>
  </w:style>
  <w:style w:type="character" w:customStyle="1" w:styleId="underline">
    <w:name w:val="underline"/>
    <w:basedOn w:val="Domylnaczcionkaakapitu"/>
    <w:rsid w:val="00742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0674">
          <w:marLeft w:val="-225"/>
          <w:marRight w:val="-22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6678">
          <w:marLeft w:val="0"/>
          <w:marRight w:val="36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4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1964043029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19640430296" TargetMode="External"/><Relationship Id="rId12" Type="http://schemas.openxmlformats.org/officeDocument/2006/relationships/hyperlink" Target="http://isap.sejm.gov.pl/DetailsServlet?id=WDU1964043029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ap.sejm.gov.pl/DetailsServlet?id=WDU1964043029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sap.sejm.gov.pl/DetailsServlet?id=WDU196404302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ap.sejm.gov.pl/DetailsServlet?id=WDU1964043029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2167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Michał Zuchmantowicz</vt:lpstr>
    </vt:vector>
  </TitlesOfParts>
  <Company>Sil-art Rycho444</Company>
  <LinksUpToDate>false</LinksUpToDate>
  <CharactersWithSpaces>15145</CharactersWithSpaces>
  <SharedDoc>false</SharedDoc>
  <HLinks>
    <vt:vector size="12" baseType="variant">
      <vt:variant>
        <vt:i4>1179662</vt:i4>
      </vt:variant>
      <vt:variant>
        <vt:i4>3</vt:i4>
      </vt:variant>
      <vt:variant>
        <vt:i4>0</vt:i4>
      </vt:variant>
      <vt:variant>
        <vt:i4>5</vt:i4>
      </vt:variant>
      <vt:variant>
        <vt:lpwstr>http://www.zuchmantowicz.pl/</vt:lpwstr>
      </vt:variant>
      <vt:variant>
        <vt:lpwstr/>
      </vt:variant>
      <vt:variant>
        <vt:i4>1245233</vt:i4>
      </vt:variant>
      <vt:variant>
        <vt:i4>0</vt:i4>
      </vt:variant>
      <vt:variant>
        <vt:i4>0</vt:i4>
      </vt:variant>
      <vt:variant>
        <vt:i4>5</vt:i4>
      </vt:variant>
      <vt:variant>
        <vt:lpwstr>mailto:michal@zuchmantowicz.pl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Michał Zuchmantowicz</dc:title>
  <dc:subject/>
  <dc:creator>adwokat</dc:creator>
  <cp:keywords/>
  <cp:lastModifiedBy>Michał Zuchmantowicz</cp:lastModifiedBy>
  <cp:revision>4</cp:revision>
  <cp:lastPrinted>2019-03-21T11:23:00Z</cp:lastPrinted>
  <dcterms:created xsi:type="dcterms:W3CDTF">2020-03-17T07:29:00Z</dcterms:created>
  <dcterms:modified xsi:type="dcterms:W3CDTF">2020-03-17T07:40:00Z</dcterms:modified>
</cp:coreProperties>
</file>